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A801" w14:textId="290AA37E" w:rsidR="00BD41FD" w:rsidRPr="0072214A" w:rsidRDefault="00463BFE" w:rsidP="002862A5">
      <w:pPr>
        <w:spacing w:before="118" w:line="413" w:lineRule="exact"/>
        <w:jc w:val="center"/>
        <w:rPr>
          <w:rFonts w:asciiTheme="minorHAnsi" w:hAnsiTheme="minorHAnsi" w:cstheme="minorHAnsi"/>
          <w:b/>
          <w:noProof/>
          <w:sz w:val="36"/>
          <w:szCs w:val="36"/>
        </w:rPr>
      </w:pPr>
      <w:r w:rsidRPr="0072214A">
        <w:rPr>
          <w:rFonts w:asciiTheme="minorHAnsi" w:hAnsiTheme="minorHAnsi" w:cstheme="minorHAnsi"/>
          <w:b/>
          <w:noProof/>
          <w:sz w:val="36"/>
          <w:szCs w:val="36"/>
        </w:rPr>
        <w:t>ARKADIOS CAPITAL PARNTERS</w:t>
      </w:r>
      <w:r w:rsidR="00443BE8" w:rsidRPr="0072214A">
        <w:rPr>
          <w:rFonts w:asciiTheme="minorHAnsi" w:hAnsiTheme="minorHAnsi" w:cstheme="minorHAnsi"/>
          <w:b/>
          <w:noProof/>
          <w:sz w:val="36"/>
          <w:szCs w:val="36"/>
        </w:rPr>
        <w:t>,</w:t>
      </w:r>
      <w:r w:rsidR="00B43415" w:rsidRPr="0072214A">
        <w:rPr>
          <w:rFonts w:asciiTheme="minorHAnsi" w:hAnsiTheme="minorHAnsi" w:cstheme="minorHAnsi"/>
          <w:b/>
          <w:noProof/>
          <w:sz w:val="36"/>
          <w:szCs w:val="36"/>
        </w:rPr>
        <w:t xml:space="preserve"> </w:t>
      </w:r>
      <w:r w:rsidR="00443BE8" w:rsidRPr="0072214A">
        <w:rPr>
          <w:rFonts w:asciiTheme="minorHAnsi" w:hAnsiTheme="minorHAnsi" w:cstheme="minorHAnsi"/>
          <w:b/>
          <w:noProof/>
          <w:sz w:val="36"/>
          <w:szCs w:val="36"/>
        </w:rPr>
        <w:t>LLC</w:t>
      </w:r>
    </w:p>
    <w:p w14:paraId="4E3D2F21" w14:textId="7C4FBACB" w:rsidR="003C09D6" w:rsidRDefault="00BD41FD" w:rsidP="00B504D0">
      <w:pPr>
        <w:spacing w:before="118" w:line="413" w:lineRule="exact"/>
        <w:ind w:left="120"/>
        <w:jc w:val="center"/>
        <w:rPr>
          <w:rFonts w:ascii="Times New Roman" w:hAnsi="Times New Roman" w:cs="Times New Roman"/>
        </w:rPr>
      </w:pPr>
      <w:r w:rsidRPr="0072214A">
        <w:rPr>
          <w:rFonts w:asciiTheme="minorHAnsi" w:hAnsiTheme="minorHAnsi" w:cstheme="minorHAnsi"/>
          <w:b/>
          <w:noProof/>
          <w:sz w:val="36"/>
          <w:szCs w:val="36"/>
        </w:rPr>
        <w:t>Regulation Best Interest Disclosure</w:t>
      </w:r>
    </w:p>
    <w:p w14:paraId="3F09821F" w14:textId="6AD1A5EB" w:rsidR="003C09D6" w:rsidRDefault="003C09D6" w:rsidP="00BD41FD">
      <w:pPr>
        <w:pStyle w:val="BodyText"/>
        <w:ind w:left="119" w:right="30"/>
        <w:rPr>
          <w:rFonts w:ascii="Times New Roman" w:hAnsi="Times New Roman" w:cs="Times New Roman"/>
        </w:rPr>
      </w:pPr>
    </w:p>
    <w:p w14:paraId="07D70D3A" w14:textId="6023306D" w:rsidR="003C09D6" w:rsidRDefault="003C09D6" w:rsidP="00BD41FD">
      <w:pPr>
        <w:pStyle w:val="BodyText"/>
        <w:ind w:left="119" w:right="30"/>
        <w:rPr>
          <w:rFonts w:ascii="Times New Roman" w:hAnsi="Times New Roman" w:cs="Times New Roman"/>
        </w:rPr>
      </w:pPr>
    </w:p>
    <w:p w14:paraId="6006B0D3" w14:textId="2413D7EF" w:rsidR="00BD41FD" w:rsidRPr="0073122B" w:rsidRDefault="00B504D0" w:rsidP="00795ED5">
      <w:pPr>
        <w:pStyle w:val="BodyText"/>
        <w:ind w:right="30"/>
        <w:rPr>
          <w:rFonts w:asciiTheme="minorHAnsi" w:hAnsiTheme="minorHAnsi" w:cstheme="minorHAnsi"/>
          <w:sz w:val="24"/>
          <w:szCs w:val="24"/>
        </w:rPr>
      </w:pPr>
      <w:r>
        <w:rPr>
          <w:rFonts w:asciiTheme="minorHAnsi" w:hAnsiTheme="minorHAnsi" w:cstheme="minorHAnsi"/>
          <w:sz w:val="24"/>
          <w:szCs w:val="24"/>
        </w:rPr>
        <w:t>T</w:t>
      </w:r>
      <w:r w:rsidR="00BD41FD" w:rsidRPr="0073122B">
        <w:rPr>
          <w:rFonts w:asciiTheme="minorHAnsi" w:hAnsiTheme="minorHAnsi" w:cstheme="minorHAnsi"/>
          <w:sz w:val="24"/>
          <w:szCs w:val="24"/>
        </w:rPr>
        <w:t xml:space="preserve">his </w:t>
      </w:r>
      <w:r w:rsidR="00692CA4">
        <w:rPr>
          <w:rFonts w:asciiTheme="minorHAnsi" w:hAnsiTheme="minorHAnsi" w:cstheme="minorHAnsi"/>
          <w:sz w:val="24"/>
          <w:szCs w:val="24"/>
        </w:rPr>
        <w:t xml:space="preserve">document </w:t>
      </w:r>
      <w:r w:rsidR="009B02E7" w:rsidRPr="0073122B">
        <w:rPr>
          <w:rFonts w:asciiTheme="minorHAnsi" w:hAnsiTheme="minorHAnsi" w:cstheme="minorHAnsi"/>
          <w:sz w:val="24"/>
          <w:szCs w:val="24"/>
        </w:rPr>
        <w:t xml:space="preserve">is intended to provide a brief overview and explanation of </w:t>
      </w:r>
      <w:r w:rsidR="00BD41FD" w:rsidRPr="0073122B">
        <w:rPr>
          <w:rFonts w:asciiTheme="minorHAnsi" w:hAnsiTheme="minorHAnsi" w:cstheme="minorHAnsi"/>
          <w:sz w:val="24"/>
          <w:szCs w:val="24"/>
        </w:rPr>
        <w:t xml:space="preserve">important information </w:t>
      </w:r>
      <w:r w:rsidR="00BB0E8F" w:rsidRPr="0073122B">
        <w:rPr>
          <w:rFonts w:asciiTheme="minorHAnsi" w:hAnsiTheme="minorHAnsi" w:cstheme="minorHAnsi"/>
          <w:sz w:val="24"/>
          <w:szCs w:val="24"/>
        </w:rPr>
        <w:t xml:space="preserve">regarding your brokerage account relationship with </w:t>
      </w:r>
      <w:proofErr w:type="spellStart"/>
      <w:r w:rsidR="00BB0E8F" w:rsidRPr="0073122B">
        <w:rPr>
          <w:rFonts w:asciiTheme="minorHAnsi" w:hAnsiTheme="minorHAnsi" w:cstheme="minorHAnsi"/>
          <w:sz w:val="24"/>
          <w:szCs w:val="24"/>
        </w:rPr>
        <w:t>Arkadios</w:t>
      </w:r>
      <w:proofErr w:type="spellEnd"/>
      <w:r w:rsidR="00BB0E8F" w:rsidRPr="0073122B">
        <w:rPr>
          <w:rFonts w:asciiTheme="minorHAnsi" w:hAnsiTheme="minorHAnsi" w:cstheme="minorHAnsi"/>
          <w:sz w:val="24"/>
          <w:szCs w:val="24"/>
        </w:rPr>
        <w:t xml:space="preserve"> Capital Partners, LLC, </w:t>
      </w:r>
      <w:r w:rsidR="00413260" w:rsidRPr="0073122B">
        <w:rPr>
          <w:rFonts w:asciiTheme="minorHAnsi" w:hAnsiTheme="minorHAnsi" w:cstheme="minorHAnsi"/>
          <w:sz w:val="24"/>
          <w:szCs w:val="24"/>
        </w:rPr>
        <w:t xml:space="preserve">(“AC”) </w:t>
      </w:r>
      <w:r w:rsidR="00BB0E8F" w:rsidRPr="0073122B">
        <w:rPr>
          <w:rFonts w:asciiTheme="minorHAnsi" w:hAnsiTheme="minorHAnsi" w:cstheme="minorHAnsi"/>
          <w:sz w:val="24"/>
          <w:szCs w:val="24"/>
        </w:rPr>
        <w:t>and in general terms</w:t>
      </w:r>
      <w:r w:rsidR="00413260" w:rsidRPr="0073122B">
        <w:rPr>
          <w:rFonts w:asciiTheme="minorHAnsi" w:hAnsiTheme="minorHAnsi" w:cstheme="minorHAnsi"/>
          <w:sz w:val="24"/>
          <w:szCs w:val="24"/>
        </w:rPr>
        <w:t xml:space="preserve">, how </w:t>
      </w:r>
      <w:proofErr w:type="spellStart"/>
      <w:r w:rsidR="00413260" w:rsidRPr="0073122B">
        <w:rPr>
          <w:rFonts w:asciiTheme="minorHAnsi" w:hAnsiTheme="minorHAnsi" w:cstheme="minorHAnsi"/>
          <w:sz w:val="24"/>
          <w:szCs w:val="24"/>
        </w:rPr>
        <w:t>Arkadios</w:t>
      </w:r>
      <w:proofErr w:type="spellEnd"/>
      <w:r w:rsidR="00413260" w:rsidRPr="0073122B">
        <w:rPr>
          <w:rFonts w:asciiTheme="minorHAnsi" w:hAnsiTheme="minorHAnsi" w:cstheme="minorHAnsi"/>
          <w:sz w:val="24"/>
          <w:szCs w:val="24"/>
        </w:rPr>
        <w:t xml:space="preserve"> Capital’s affiliate</w:t>
      </w:r>
      <w:r w:rsidR="00670B4A" w:rsidRPr="0073122B">
        <w:rPr>
          <w:rFonts w:asciiTheme="minorHAnsi" w:hAnsiTheme="minorHAnsi" w:cstheme="minorHAnsi"/>
          <w:sz w:val="24"/>
          <w:szCs w:val="24"/>
        </w:rPr>
        <w:t xml:space="preserve">, </w:t>
      </w:r>
      <w:proofErr w:type="spellStart"/>
      <w:r w:rsidR="00670B4A" w:rsidRPr="0073122B">
        <w:rPr>
          <w:rFonts w:asciiTheme="minorHAnsi" w:hAnsiTheme="minorHAnsi" w:cstheme="minorHAnsi"/>
          <w:sz w:val="24"/>
          <w:szCs w:val="24"/>
        </w:rPr>
        <w:t>Arkadios</w:t>
      </w:r>
      <w:proofErr w:type="spellEnd"/>
      <w:r w:rsidR="00670B4A" w:rsidRPr="0073122B">
        <w:rPr>
          <w:rFonts w:asciiTheme="minorHAnsi" w:hAnsiTheme="minorHAnsi" w:cstheme="minorHAnsi"/>
          <w:sz w:val="24"/>
          <w:szCs w:val="24"/>
        </w:rPr>
        <w:t xml:space="preserve"> Wealth Advisors (“AW</w:t>
      </w:r>
      <w:r w:rsidR="00B679C1">
        <w:rPr>
          <w:rFonts w:asciiTheme="minorHAnsi" w:hAnsiTheme="minorHAnsi" w:cstheme="minorHAnsi"/>
          <w:sz w:val="24"/>
          <w:szCs w:val="24"/>
        </w:rPr>
        <w:t>”</w:t>
      </w:r>
      <w:r w:rsidR="00670B4A" w:rsidRPr="0073122B">
        <w:rPr>
          <w:rFonts w:asciiTheme="minorHAnsi" w:hAnsiTheme="minorHAnsi" w:cstheme="minorHAnsi"/>
          <w:sz w:val="24"/>
          <w:szCs w:val="24"/>
        </w:rPr>
        <w:t>)</w:t>
      </w:r>
      <w:r w:rsidR="00653332" w:rsidRPr="0073122B">
        <w:rPr>
          <w:rFonts w:asciiTheme="minorHAnsi" w:hAnsiTheme="minorHAnsi" w:cstheme="minorHAnsi"/>
          <w:sz w:val="24"/>
          <w:szCs w:val="24"/>
        </w:rPr>
        <w:t>,</w:t>
      </w:r>
      <w:r w:rsidR="00670B4A" w:rsidRPr="0073122B">
        <w:rPr>
          <w:rFonts w:asciiTheme="minorHAnsi" w:hAnsiTheme="minorHAnsi" w:cstheme="minorHAnsi"/>
          <w:sz w:val="24"/>
          <w:szCs w:val="24"/>
        </w:rPr>
        <w:t xml:space="preserve"> can interact with you and </w:t>
      </w:r>
      <w:proofErr w:type="spellStart"/>
      <w:r w:rsidR="00670B4A" w:rsidRPr="0073122B">
        <w:rPr>
          <w:rFonts w:asciiTheme="minorHAnsi" w:hAnsiTheme="minorHAnsi" w:cstheme="minorHAnsi"/>
          <w:sz w:val="24"/>
          <w:szCs w:val="24"/>
        </w:rPr>
        <w:t>A</w:t>
      </w:r>
      <w:r w:rsidR="00653332" w:rsidRPr="0073122B">
        <w:rPr>
          <w:rFonts w:asciiTheme="minorHAnsi" w:hAnsiTheme="minorHAnsi" w:cstheme="minorHAnsi"/>
          <w:sz w:val="24"/>
          <w:szCs w:val="24"/>
        </w:rPr>
        <w:t>rkadios</w:t>
      </w:r>
      <w:proofErr w:type="spellEnd"/>
      <w:r w:rsidR="00653332" w:rsidRPr="0073122B">
        <w:rPr>
          <w:rFonts w:asciiTheme="minorHAnsi" w:hAnsiTheme="minorHAnsi" w:cstheme="minorHAnsi"/>
          <w:sz w:val="24"/>
          <w:szCs w:val="24"/>
        </w:rPr>
        <w:t xml:space="preserve"> </w:t>
      </w:r>
      <w:r w:rsidR="00670B4A" w:rsidRPr="0073122B">
        <w:rPr>
          <w:rFonts w:asciiTheme="minorHAnsi" w:hAnsiTheme="minorHAnsi" w:cstheme="minorHAnsi"/>
          <w:sz w:val="24"/>
          <w:szCs w:val="24"/>
        </w:rPr>
        <w:t>C</w:t>
      </w:r>
      <w:r w:rsidR="00653332" w:rsidRPr="0073122B">
        <w:rPr>
          <w:rFonts w:asciiTheme="minorHAnsi" w:hAnsiTheme="minorHAnsi" w:cstheme="minorHAnsi"/>
          <w:sz w:val="24"/>
          <w:szCs w:val="24"/>
        </w:rPr>
        <w:t>apital</w:t>
      </w:r>
      <w:r w:rsidR="00670B4A" w:rsidRPr="0073122B">
        <w:rPr>
          <w:rFonts w:asciiTheme="minorHAnsi" w:hAnsiTheme="minorHAnsi" w:cstheme="minorHAnsi"/>
          <w:sz w:val="24"/>
          <w:szCs w:val="24"/>
        </w:rPr>
        <w:t xml:space="preserve"> </w:t>
      </w:r>
      <w:r w:rsidR="0073122B">
        <w:rPr>
          <w:rFonts w:asciiTheme="minorHAnsi" w:hAnsiTheme="minorHAnsi" w:cstheme="minorHAnsi"/>
          <w:sz w:val="24"/>
          <w:szCs w:val="24"/>
        </w:rPr>
        <w:t xml:space="preserve">Partners </w:t>
      </w:r>
      <w:r w:rsidR="00670B4A" w:rsidRPr="0073122B">
        <w:rPr>
          <w:rFonts w:asciiTheme="minorHAnsi" w:hAnsiTheme="minorHAnsi" w:cstheme="minorHAnsi"/>
          <w:sz w:val="24"/>
          <w:szCs w:val="24"/>
        </w:rPr>
        <w:t>to provide additional non</w:t>
      </w:r>
      <w:r w:rsidR="00A160A2" w:rsidRPr="0073122B">
        <w:rPr>
          <w:rFonts w:asciiTheme="minorHAnsi" w:hAnsiTheme="minorHAnsi" w:cstheme="minorHAnsi"/>
          <w:sz w:val="24"/>
          <w:szCs w:val="24"/>
        </w:rPr>
        <w:t>-brokerage services to your account</w:t>
      </w:r>
      <w:r w:rsidR="005E0260" w:rsidRPr="0073122B">
        <w:rPr>
          <w:rFonts w:asciiTheme="minorHAnsi" w:hAnsiTheme="minorHAnsi" w:cstheme="minorHAnsi"/>
          <w:sz w:val="24"/>
          <w:szCs w:val="24"/>
        </w:rPr>
        <w:t>.</w:t>
      </w:r>
      <w:r w:rsidR="00BD41FD" w:rsidRPr="0073122B">
        <w:rPr>
          <w:rFonts w:asciiTheme="minorHAnsi" w:hAnsiTheme="minorHAnsi" w:cstheme="minorHAnsi"/>
          <w:sz w:val="24"/>
          <w:szCs w:val="24"/>
        </w:rPr>
        <w:t xml:space="preserve"> We encourage you to review this information carefully, along with any applicable account agreement(s) and disclosure documentation you may receive from us. </w:t>
      </w:r>
    </w:p>
    <w:p w14:paraId="7BBA863C" w14:textId="77777777" w:rsidR="00BD41FD" w:rsidRPr="0073122B" w:rsidRDefault="00BD41FD" w:rsidP="00BD41FD">
      <w:pPr>
        <w:pStyle w:val="BodyText"/>
        <w:ind w:left="119" w:right="864"/>
        <w:jc w:val="right"/>
        <w:rPr>
          <w:rFonts w:asciiTheme="minorHAnsi" w:hAnsiTheme="minorHAnsi" w:cstheme="minorHAnsi"/>
          <w:sz w:val="24"/>
          <w:szCs w:val="24"/>
        </w:rPr>
      </w:pPr>
    </w:p>
    <w:p w14:paraId="07A8F66F" w14:textId="68151CA5" w:rsidR="00BD41FD" w:rsidRPr="0073122B" w:rsidRDefault="00BD41FD" w:rsidP="00C12A3A">
      <w:pPr>
        <w:pStyle w:val="Default0"/>
        <w:rPr>
          <w:rFonts w:asciiTheme="minorHAnsi" w:hAnsiTheme="minorHAnsi" w:cstheme="minorHAnsi"/>
        </w:rPr>
      </w:pPr>
      <w:r w:rsidRPr="0073122B">
        <w:rPr>
          <w:rFonts w:asciiTheme="minorHAnsi" w:eastAsia="Arial" w:hAnsiTheme="minorHAnsi" w:cstheme="minorHAnsi"/>
          <w:color w:val="auto"/>
        </w:rPr>
        <w:t>As you review this information, we would like to remind you that we are registered with the U.S. Securities and Exchange Commission (SEC) as a broker</w:t>
      </w:r>
      <w:r w:rsidR="00B412F2" w:rsidRPr="0073122B">
        <w:rPr>
          <w:rFonts w:asciiTheme="minorHAnsi" w:eastAsia="Arial" w:hAnsiTheme="minorHAnsi" w:cstheme="minorHAnsi"/>
          <w:color w:val="auto"/>
        </w:rPr>
        <w:t>/</w:t>
      </w:r>
      <w:r w:rsidRPr="0073122B">
        <w:rPr>
          <w:rFonts w:asciiTheme="minorHAnsi" w:eastAsia="Arial" w:hAnsiTheme="minorHAnsi" w:cstheme="minorHAnsi"/>
          <w:color w:val="auto"/>
        </w:rPr>
        <w:t xml:space="preserve">dealer, providing brokerage services. Our brokerage services are the primary focus of this </w:t>
      </w:r>
      <w:r w:rsidR="00692CA4">
        <w:rPr>
          <w:rFonts w:asciiTheme="minorHAnsi" w:eastAsia="Arial" w:hAnsiTheme="minorHAnsi" w:cstheme="minorHAnsi"/>
          <w:color w:val="auto"/>
        </w:rPr>
        <w:t>document.</w:t>
      </w:r>
      <w:r w:rsidRPr="0073122B">
        <w:rPr>
          <w:rFonts w:asciiTheme="minorHAnsi" w:eastAsia="Arial" w:hAnsiTheme="minorHAnsi" w:cstheme="minorHAnsi"/>
          <w:color w:val="auto"/>
        </w:rPr>
        <w:t xml:space="preserve"> </w:t>
      </w:r>
      <w:r w:rsidR="00EB2492" w:rsidRPr="0073122B">
        <w:rPr>
          <w:rFonts w:asciiTheme="minorHAnsi" w:eastAsia="Arial" w:hAnsiTheme="minorHAnsi" w:cstheme="minorHAnsi"/>
          <w:color w:val="auto"/>
        </w:rPr>
        <w:t xml:space="preserve">This </w:t>
      </w:r>
      <w:r w:rsidR="00692CA4">
        <w:rPr>
          <w:rFonts w:asciiTheme="minorHAnsi" w:eastAsia="Arial" w:hAnsiTheme="minorHAnsi" w:cstheme="minorHAnsi"/>
          <w:color w:val="auto"/>
        </w:rPr>
        <w:t>document</w:t>
      </w:r>
      <w:r w:rsidRPr="0073122B">
        <w:rPr>
          <w:rFonts w:asciiTheme="minorHAnsi" w:eastAsia="Arial" w:hAnsiTheme="minorHAnsi" w:cstheme="minorHAnsi"/>
          <w:color w:val="auto"/>
        </w:rPr>
        <w:t xml:space="preserve"> contains important information about the types of services we offer</w:t>
      </w:r>
      <w:r w:rsidR="00EB2492" w:rsidRPr="0073122B">
        <w:rPr>
          <w:rFonts w:asciiTheme="minorHAnsi" w:eastAsia="Arial" w:hAnsiTheme="minorHAnsi" w:cstheme="minorHAnsi"/>
          <w:color w:val="auto"/>
        </w:rPr>
        <w:t xml:space="preserve"> </w:t>
      </w:r>
      <w:r w:rsidRPr="0073122B">
        <w:rPr>
          <w:rFonts w:asciiTheme="minorHAnsi" w:eastAsia="Arial" w:hAnsiTheme="minorHAnsi" w:cstheme="minorHAnsi"/>
          <w:color w:val="auto"/>
        </w:rPr>
        <w:t xml:space="preserve">along with general information related to compensation, conflicts of interest, disciplinary </w:t>
      </w:r>
      <w:proofErr w:type="gramStart"/>
      <w:r w:rsidRPr="0073122B">
        <w:rPr>
          <w:rFonts w:asciiTheme="minorHAnsi" w:eastAsia="Arial" w:hAnsiTheme="minorHAnsi" w:cstheme="minorHAnsi"/>
          <w:color w:val="auto"/>
        </w:rPr>
        <w:t>action</w:t>
      </w:r>
      <w:proofErr w:type="gramEnd"/>
      <w:r w:rsidRPr="0073122B">
        <w:rPr>
          <w:rFonts w:asciiTheme="minorHAnsi" w:eastAsia="Arial" w:hAnsiTheme="minorHAnsi" w:cstheme="minorHAnsi"/>
          <w:color w:val="auto"/>
        </w:rPr>
        <w:t xml:space="preserve"> and other reportable legal information. </w:t>
      </w:r>
      <w:r w:rsidRPr="0073122B">
        <w:rPr>
          <w:rFonts w:asciiTheme="minorHAnsi" w:hAnsiTheme="minorHAnsi" w:cstheme="minorHAnsi"/>
        </w:rPr>
        <w:t xml:space="preserve">Please carefully review and consider the information in each section below. </w:t>
      </w:r>
    </w:p>
    <w:p w14:paraId="21517539" w14:textId="266975C8" w:rsidR="009170F5" w:rsidRPr="0073122B" w:rsidRDefault="009170F5" w:rsidP="00BD41FD">
      <w:pPr>
        <w:pStyle w:val="BodyText"/>
        <w:ind w:right="864" w:firstLine="119"/>
        <w:rPr>
          <w:rFonts w:asciiTheme="minorHAnsi" w:hAnsiTheme="minorHAnsi" w:cstheme="minorHAnsi"/>
          <w:sz w:val="24"/>
          <w:szCs w:val="24"/>
          <w:highlight w:val="yellow"/>
        </w:rPr>
      </w:pPr>
    </w:p>
    <w:p w14:paraId="36D84436" w14:textId="3E85C54F" w:rsidR="00EB2492" w:rsidRPr="0073122B" w:rsidRDefault="00EB2492" w:rsidP="0073122B">
      <w:pPr>
        <w:pStyle w:val="BodyText"/>
        <w:ind w:right="864"/>
        <w:rPr>
          <w:rFonts w:asciiTheme="minorHAnsi" w:hAnsiTheme="minorHAnsi" w:cstheme="minorHAnsi"/>
          <w:b/>
          <w:bCs/>
          <w:sz w:val="24"/>
          <w:szCs w:val="24"/>
        </w:rPr>
      </w:pPr>
      <w:r w:rsidRPr="0073122B">
        <w:rPr>
          <w:rFonts w:asciiTheme="minorHAnsi" w:hAnsiTheme="minorHAnsi" w:cstheme="minorHAnsi"/>
          <w:b/>
          <w:bCs/>
          <w:sz w:val="24"/>
          <w:szCs w:val="24"/>
        </w:rPr>
        <w:t>Defined Terms</w:t>
      </w:r>
    </w:p>
    <w:p w14:paraId="2CEF3B65" w14:textId="1481DD69" w:rsidR="00EB2492" w:rsidRDefault="00EB2492" w:rsidP="0073122B">
      <w:pPr>
        <w:pStyle w:val="BodyText"/>
        <w:ind w:right="864"/>
        <w:rPr>
          <w:rFonts w:asciiTheme="minorHAnsi" w:hAnsiTheme="minorHAnsi" w:cstheme="minorHAnsi"/>
          <w:sz w:val="24"/>
          <w:szCs w:val="24"/>
        </w:rPr>
      </w:pPr>
      <w:r w:rsidRPr="0073122B">
        <w:rPr>
          <w:rFonts w:asciiTheme="minorHAnsi" w:hAnsiTheme="minorHAnsi" w:cstheme="minorHAnsi"/>
          <w:sz w:val="24"/>
          <w:szCs w:val="24"/>
        </w:rPr>
        <w:t xml:space="preserve">For purposes of this </w:t>
      </w:r>
      <w:proofErr w:type="spellStart"/>
      <w:r w:rsidR="007554BF" w:rsidRPr="0073122B">
        <w:rPr>
          <w:rFonts w:asciiTheme="minorHAnsi" w:hAnsiTheme="minorHAnsi" w:cstheme="minorHAnsi"/>
          <w:sz w:val="24"/>
          <w:szCs w:val="24"/>
        </w:rPr>
        <w:t>Arkadios</w:t>
      </w:r>
      <w:proofErr w:type="spellEnd"/>
      <w:r w:rsidR="007554BF" w:rsidRPr="0073122B">
        <w:rPr>
          <w:rFonts w:asciiTheme="minorHAnsi" w:hAnsiTheme="minorHAnsi" w:cstheme="minorHAnsi"/>
          <w:sz w:val="24"/>
          <w:szCs w:val="24"/>
        </w:rPr>
        <w:t xml:space="preserve"> Capital investing </w:t>
      </w:r>
      <w:r w:rsidR="00692CA4">
        <w:rPr>
          <w:rFonts w:asciiTheme="minorHAnsi" w:hAnsiTheme="minorHAnsi" w:cstheme="minorHAnsi"/>
          <w:sz w:val="24"/>
          <w:szCs w:val="24"/>
        </w:rPr>
        <w:t>document</w:t>
      </w:r>
      <w:r w:rsidR="007554BF" w:rsidRPr="0073122B">
        <w:rPr>
          <w:rFonts w:asciiTheme="minorHAnsi" w:hAnsiTheme="minorHAnsi" w:cstheme="minorHAnsi"/>
          <w:sz w:val="24"/>
          <w:szCs w:val="24"/>
        </w:rPr>
        <w:t>, the terms “AC”, “we,” “</w:t>
      </w:r>
      <w:r w:rsidR="0073122B" w:rsidRPr="0073122B">
        <w:rPr>
          <w:rFonts w:asciiTheme="minorHAnsi" w:hAnsiTheme="minorHAnsi" w:cstheme="minorHAnsi"/>
          <w:sz w:val="24"/>
          <w:szCs w:val="24"/>
        </w:rPr>
        <w:t>us“</w:t>
      </w:r>
      <w:r w:rsidR="00B679C1">
        <w:rPr>
          <w:rFonts w:asciiTheme="minorHAnsi" w:hAnsiTheme="minorHAnsi" w:cstheme="minorHAnsi"/>
          <w:sz w:val="24"/>
          <w:szCs w:val="24"/>
        </w:rPr>
        <w:t xml:space="preserve"> </w:t>
      </w:r>
      <w:r w:rsidR="0073122B" w:rsidRPr="0073122B">
        <w:rPr>
          <w:rFonts w:asciiTheme="minorHAnsi" w:hAnsiTheme="minorHAnsi" w:cstheme="minorHAnsi"/>
          <w:sz w:val="24"/>
          <w:szCs w:val="24"/>
        </w:rPr>
        <w:t>and</w:t>
      </w:r>
      <w:r w:rsidR="007554BF" w:rsidRPr="0073122B">
        <w:rPr>
          <w:rFonts w:asciiTheme="minorHAnsi" w:hAnsiTheme="minorHAnsi" w:cstheme="minorHAnsi"/>
          <w:sz w:val="24"/>
          <w:szCs w:val="24"/>
        </w:rPr>
        <w:t xml:space="preserve"> “our</w:t>
      </w:r>
      <w:r w:rsidR="001344F3" w:rsidRPr="0073122B">
        <w:rPr>
          <w:rFonts w:asciiTheme="minorHAnsi" w:hAnsiTheme="minorHAnsi" w:cstheme="minorHAnsi"/>
          <w:sz w:val="24"/>
          <w:szCs w:val="24"/>
        </w:rPr>
        <w:t xml:space="preserve">” refer to </w:t>
      </w:r>
      <w:proofErr w:type="spellStart"/>
      <w:r w:rsidR="001344F3" w:rsidRPr="0073122B">
        <w:rPr>
          <w:rFonts w:asciiTheme="minorHAnsi" w:hAnsiTheme="minorHAnsi" w:cstheme="minorHAnsi"/>
          <w:sz w:val="24"/>
          <w:szCs w:val="24"/>
        </w:rPr>
        <w:t>Arkadios</w:t>
      </w:r>
      <w:proofErr w:type="spellEnd"/>
      <w:r w:rsidR="001344F3" w:rsidRPr="0073122B">
        <w:rPr>
          <w:rFonts w:asciiTheme="minorHAnsi" w:hAnsiTheme="minorHAnsi" w:cstheme="minorHAnsi"/>
          <w:sz w:val="24"/>
          <w:szCs w:val="24"/>
        </w:rPr>
        <w:t xml:space="preserve"> Capital Partners, a wholly owned subsidiary of </w:t>
      </w:r>
      <w:proofErr w:type="spellStart"/>
      <w:r w:rsidR="001344F3" w:rsidRPr="0073122B">
        <w:rPr>
          <w:rFonts w:asciiTheme="minorHAnsi" w:hAnsiTheme="minorHAnsi" w:cstheme="minorHAnsi"/>
          <w:sz w:val="24"/>
          <w:szCs w:val="24"/>
        </w:rPr>
        <w:t>Arkadios</w:t>
      </w:r>
      <w:proofErr w:type="spellEnd"/>
      <w:r w:rsidR="001344F3" w:rsidRPr="0073122B">
        <w:rPr>
          <w:rFonts w:asciiTheme="minorHAnsi" w:hAnsiTheme="minorHAnsi" w:cstheme="minorHAnsi"/>
          <w:sz w:val="24"/>
          <w:szCs w:val="24"/>
        </w:rPr>
        <w:t xml:space="preserve"> Holdings, Inc.  </w:t>
      </w:r>
      <w:proofErr w:type="spellStart"/>
      <w:r w:rsidR="001344F3" w:rsidRPr="0073122B">
        <w:rPr>
          <w:rFonts w:asciiTheme="minorHAnsi" w:hAnsiTheme="minorHAnsi" w:cstheme="minorHAnsi"/>
          <w:sz w:val="24"/>
          <w:szCs w:val="24"/>
        </w:rPr>
        <w:t>Arkadios</w:t>
      </w:r>
      <w:proofErr w:type="spellEnd"/>
      <w:r w:rsidR="001344F3" w:rsidRPr="0073122B">
        <w:rPr>
          <w:rFonts w:asciiTheme="minorHAnsi" w:hAnsiTheme="minorHAnsi" w:cstheme="minorHAnsi"/>
          <w:sz w:val="24"/>
          <w:szCs w:val="24"/>
        </w:rPr>
        <w:t xml:space="preserve"> Capital is a broker/dealer registered with the U.S Securities &amp; Exchange Commission</w:t>
      </w:r>
      <w:r w:rsidR="007A6F21" w:rsidRPr="0073122B">
        <w:rPr>
          <w:rFonts w:asciiTheme="minorHAnsi" w:hAnsiTheme="minorHAnsi" w:cstheme="minorHAnsi"/>
          <w:sz w:val="24"/>
          <w:szCs w:val="24"/>
        </w:rPr>
        <w:t xml:space="preserve"> (“SEC”), a member of the Financial Industry and Regulatory Authority (“FINRA”) and the Securities Investor Protections Program (“SIPC”)</w:t>
      </w:r>
      <w:r w:rsidR="0073122B" w:rsidRPr="0073122B">
        <w:rPr>
          <w:rFonts w:asciiTheme="minorHAnsi" w:hAnsiTheme="minorHAnsi" w:cstheme="minorHAnsi"/>
          <w:sz w:val="24"/>
          <w:szCs w:val="24"/>
        </w:rPr>
        <w:t xml:space="preserve"> and a licensed insurance agency.</w:t>
      </w:r>
    </w:p>
    <w:p w14:paraId="18D97EED" w14:textId="6AE70AC2" w:rsidR="0073122B" w:rsidRDefault="0073122B" w:rsidP="0073122B">
      <w:pPr>
        <w:pStyle w:val="BodyText"/>
        <w:ind w:right="864"/>
        <w:rPr>
          <w:rFonts w:asciiTheme="minorHAnsi" w:hAnsiTheme="minorHAnsi" w:cstheme="minorHAnsi"/>
          <w:sz w:val="24"/>
          <w:szCs w:val="24"/>
        </w:rPr>
      </w:pPr>
    </w:p>
    <w:p w14:paraId="3C94AB50" w14:textId="0C430438" w:rsidR="0073122B" w:rsidRDefault="0073122B" w:rsidP="0073122B">
      <w:pPr>
        <w:pStyle w:val="BodyText"/>
        <w:ind w:right="864"/>
        <w:rPr>
          <w:rFonts w:asciiTheme="minorHAnsi" w:hAnsiTheme="minorHAnsi" w:cstheme="minorHAnsi"/>
          <w:sz w:val="24"/>
          <w:szCs w:val="24"/>
        </w:rPr>
      </w:pPr>
      <w:r>
        <w:rPr>
          <w:rFonts w:asciiTheme="minorHAnsi" w:hAnsiTheme="minorHAnsi" w:cstheme="minorHAnsi"/>
          <w:sz w:val="24"/>
          <w:szCs w:val="24"/>
        </w:rPr>
        <w:t>The terms “Account Holder”</w:t>
      </w:r>
      <w:r w:rsidR="00B679C1">
        <w:rPr>
          <w:rFonts w:asciiTheme="minorHAnsi" w:hAnsiTheme="minorHAnsi" w:cstheme="minorHAnsi"/>
          <w:sz w:val="24"/>
          <w:szCs w:val="24"/>
        </w:rPr>
        <w:t>,</w:t>
      </w:r>
      <w:r>
        <w:rPr>
          <w:rFonts w:asciiTheme="minorHAnsi" w:hAnsiTheme="minorHAnsi" w:cstheme="minorHAnsi"/>
          <w:sz w:val="24"/>
          <w:szCs w:val="24"/>
        </w:rPr>
        <w:t xml:space="preserve"> “you” and “</w:t>
      </w:r>
      <w:proofErr w:type="gramStart"/>
      <w:r w:rsidR="00692CA4">
        <w:rPr>
          <w:rFonts w:asciiTheme="minorHAnsi" w:hAnsiTheme="minorHAnsi" w:cstheme="minorHAnsi"/>
          <w:sz w:val="24"/>
          <w:szCs w:val="24"/>
        </w:rPr>
        <w:t>your</w:t>
      </w:r>
      <w:proofErr w:type="gramEnd"/>
      <w:r>
        <w:rPr>
          <w:rFonts w:asciiTheme="minorHAnsi" w:hAnsiTheme="minorHAnsi" w:cstheme="minorHAnsi"/>
          <w:sz w:val="24"/>
          <w:szCs w:val="24"/>
        </w:rPr>
        <w:t xml:space="preserve">” refer to the owner of a brokerage account (“brokerage account” or “account”) held with </w:t>
      </w:r>
      <w:proofErr w:type="spellStart"/>
      <w:r>
        <w:rPr>
          <w:rFonts w:asciiTheme="minorHAnsi" w:hAnsiTheme="minorHAnsi" w:cstheme="minorHAnsi"/>
          <w:sz w:val="24"/>
          <w:szCs w:val="24"/>
        </w:rPr>
        <w:t>Arkadios</w:t>
      </w:r>
      <w:proofErr w:type="spellEnd"/>
      <w:r>
        <w:rPr>
          <w:rFonts w:asciiTheme="minorHAnsi" w:hAnsiTheme="minorHAnsi" w:cstheme="minorHAnsi"/>
          <w:sz w:val="24"/>
          <w:szCs w:val="24"/>
        </w:rPr>
        <w:t xml:space="preserve"> Capital.  For joint accounts, these terms refer to all owners, collectively, and individually. For accounts owned by entities,</w:t>
      </w:r>
      <w:r w:rsidR="00EF51E4">
        <w:rPr>
          <w:rFonts w:asciiTheme="minorHAnsi" w:hAnsiTheme="minorHAnsi" w:cstheme="minorHAnsi"/>
          <w:sz w:val="24"/>
          <w:szCs w:val="24"/>
        </w:rPr>
        <w:t xml:space="preserve"> such as trust or business accounts, these terms refer both to the entity and to all beneficial owners of the account and all </w:t>
      </w:r>
      <w:proofErr w:type="gramStart"/>
      <w:r w:rsidR="00EF51E4">
        <w:rPr>
          <w:rFonts w:asciiTheme="minorHAnsi" w:hAnsiTheme="minorHAnsi" w:cstheme="minorHAnsi"/>
          <w:sz w:val="24"/>
          <w:szCs w:val="24"/>
        </w:rPr>
        <w:t>persons</w:t>
      </w:r>
      <w:proofErr w:type="gramEnd"/>
      <w:r w:rsidR="00EF51E4">
        <w:rPr>
          <w:rFonts w:asciiTheme="minorHAnsi" w:hAnsiTheme="minorHAnsi" w:cstheme="minorHAnsi"/>
          <w:sz w:val="24"/>
          <w:szCs w:val="24"/>
        </w:rPr>
        <w:t xml:space="preserve"> authorized to transact with the account.  </w:t>
      </w:r>
    </w:p>
    <w:p w14:paraId="2569C48F" w14:textId="65A6630F" w:rsidR="00EF51E4" w:rsidRDefault="00EF51E4" w:rsidP="0073122B">
      <w:pPr>
        <w:pStyle w:val="BodyText"/>
        <w:ind w:right="864"/>
        <w:rPr>
          <w:rFonts w:asciiTheme="minorHAnsi" w:hAnsiTheme="minorHAnsi" w:cstheme="minorHAnsi"/>
          <w:sz w:val="24"/>
          <w:szCs w:val="24"/>
        </w:rPr>
      </w:pPr>
    </w:p>
    <w:p w14:paraId="3B3330BC" w14:textId="158EFD1A" w:rsidR="00EF51E4" w:rsidRDefault="00EF51E4" w:rsidP="0073122B">
      <w:pPr>
        <w:pStyle w:val="BodyText"/>
        <w:ind w:right="864"/>
        <w:rPr>
          <w:rFonts w:asciiTheme="minorHAnsi" w:hAnsiTheme="minorHAnsi" w:cstheme="minorHAnsi"/>
          <w:sz w:val="24"/>
          <w:szCs w:val="24"/>
        </w:rPr>
      </w:pPr>
      <w:proofErr w:type="spellStart"/>
      <w:r>
        <w:rPr>
          <w:rFonts w:asciiTheme="minorHAnsi" w:hAnsiTheme="minorHAnsi" w:cstheme="minorHAnsi"/>
          <w:sz w:val="24"/>
          <w:szCs w:val="24"/>
        </w:rPr>
        <w:t>Arkadios</w:t>
      </w:r>
      <w:proofErr w:type="spellEnd"/>
      <w:r>
        <w:rPr>
          <w:rFonts w:asciiTheme="minorHAnsi" w:hAnsiTheme="minorHAnsi" w:cstheme="minorHAnsi"/>
          <w:sz w:val="24"/>
          <w:szCs w:val="24"/>
        </w:rPr>
        <w:t xml:space="preserve"> Capital is an introducing broker/dealer which clears its securities transactions through National Financial Services LLC (“NFS”), an independently owned SEC registered broker/dealer and member of FINRA and SIPC, or such successor clearing firm as we shall choose from time to time.  Custody of securities held in your account is maintained with NFS, or in the case of retirement accou</w:t>
      </w:r>
      <w:r w:rsidR="006C4CF2">
        <w:rPr>
          <w:rFonts w:asciiTheme="minorHAnsi" w:hAnsiTheme="minorHAnsi" w:cstheme="minorHAnsi"/>
          <w:sz w:val="24"/>
          <w:szCs w:val="24"/>
        </w:rPr>
        <w:t xml:space="preserve">nts, with its affiliate, Fidelity Management Trust Company. The respective </w:t>
      </w:r>
      <w:r w:rsidR="004C3AF0">
        <w:rPr>
          <w:rFonts w:asciiTheme="minorHAnsi" w:hAnsiTheme="minorHAnsi" w:cstheme="minorHAnsi"/>
          <w:sz w:val="24"/>
          <w:szCs w:val="24"/>
        </w:rPr>
        <w:t>functions</w:t>
      </w:r>
      <w:r w:rsidR="006C4CF2">
        <w:rPr>
          <w:rFonts w:asciiTheme="minorHAnsi" w:hAnsiTheme="minorHAnsi" w:cstheme="minorHAnsi"/>
          <w:sz w:val="24"/>
          <w:szCs w:val="24"/>
        </w:rPr>
        <w:t xml:space="preserve"> allocated between </w:t>
      </w:r>
      <w:proofErr w:type="spellStart"/>
      <w:r w:rsidR="006C4CF2">
        <w:rPr>
          <w:rFonts w:asciiTheme="minorHAnsi" w:hAnsiTheme="minorHAnsi" w:cstheme="minorHAnsi"/>
          <w:sz w:val="24"/>
          <w:szCs w:val="24"/>
        </w:rPr>
        <w:t>Arkadios</w:t>
      </w:r>
      <w:proofErr w:type="spellEnd"/>
      <w:r w:rsidR="006C4CF2">
        <w:rPr>
          <w:rFonts w:asciiTheme="minorHAnsi" w:hAnsiTheme="minorHAnsi" w:cstheme="minorHAnsi"/>
          <w:sz w:val="24"/>
          <w:szCs w:val="24"/>
        </w:rPr>
        <w:t xml:space="preserve"> Capital and NFS related to Brokerage </w:t>
      </w:r>
      <w:r w:rsidR="00401726">
        <w:rPr>
          <w:rFonts w:asciiTheme="minorHAnsi" w:hAnsiTheme="minorHAnsi" w:cstheme="minorHAnsi"/>
          <w:sz w:val="24"/>
          <w:szCs w:val="24"/>
        </w:rPr>
        <w:t>Accounts</w:t>
      </w:r>
      <w:r w:rsidR="006C4CF2">
        <w:rPr>
          <w:rFonts w:asciiTheme="minorHAnsi" w:hAnsiTheme="minorHAnsi" w:cstheme="minorHAnsi"/>
          <w:sz w:val="24"/>
          <w:szCs w:val="24"/>
        </w:rPr>
        <w:t xml:space="preserve"> are specified in the </w:t>
      </w:r>
      <w:r w:rsidR="00401726">
        <w:rPr>
          <w:rFonts w:asciiTheme="minorHAnsi" w:hAnsiTheme="minorHAnsi" w:cstheme="minorHAnsi"/>
          <w:sz w:val="24"/>
          <w:szCs w:val="24"/>
        </w:rPr>
        <w:t>clearing</w:t>
      </w:r>
      <w:r w:rsidR="006C4CF2">
        <w:rPr>
          <w:rFonts w:asciiTheme="minorHAnsi" w:hAnsiTheme="minorHAnsi" w:cstheme="minorHAnsi"/>
          <w:sz w:val="24"/>
          <w:szCs w:val="24"/>
        </w:rPr>
        <w:t xml:space="preserve"> agreement between</w:t>
      </w:r>
      <w:r w:rsidR="00607ECB">
        <w:rPr>
          <w:rFonts w:asciiTheme="minorHAnsi" w:hAnsiTheme="minorHAnsi" w:cstheme="minorHAnsi"/>
          <w:sz w:val="24"/>
          <w:szCs w:val="24"/>
        </w:rPr>
        <w:t xml:space="preserve"> </w:t>
      </w:r>
      <w:proofErr w:type="spellStart"/>
      <w:r w:rsidR="00607ECB">
        <w:rPr>
          <w:rFonts w:asciiTheme="minorHAnsi" w:hAnsiTheme="minorHAnsi" w:cstheme="minorHAnsi"/>
          <w:sz w:val="24"/>
          <w:szCs w:val="24"/>
        </w:rPr>
        <w:t>Arkadios</w:t>
      </w:r>
      <w:proofErr w:type="spellEnd"/>
      <w:r w:rsidR="00607ECB">
        <w:rPr>
          <w:rFonts w:asciiTheme="minorHAnsi" w:hAnsiTheme="minorHAnsi" w:cstheme="minorHAnsi"/>
          <w:sz w:val="24"/>
          <w:szCs w:val="24"/>
        </w:rPr>
        <w:t xml:space="preserve"> Capital and NFS and are summarized in the noticed provided to customers by NFS at account opening pursuant to FINRA Rule 4311.  </w:t>
      </w:r>
      <w:r w:rsidR="004C3AF0">
        <w:rPr>
          <w:rFonts w:asciiTheme="minorHAnsi" w:hAnsiTheme="minorHAnsi" w:cstheme="minorHAnsi"/>
          <w:sz w:val="24"/>
          <w:szCs w:val="24"/>
        </w:rPr>
        <w:t xml:space="preserve">In the case of direct relationships with insurance </w:t>
      </w:r>
      <w:r w:rsidR="00401726">
        <w:rPr>
          <w:rFonts w:asciiTheme="minorHAnsi" w:hAnsiTheme="minorHAnsi" w:cstheme="minorHAnsi"/>
          <w:sz w:val="24"/>
          <w:szCs w:val="24"/>
        </w:rPr>
        <w:t>companies</w:t>
      </w:r>
      <w:r w:rsidR="004C3AF0">
        <w:rPr>
          <w:rFonts w:asciiTheme="minorHAnsi" w:hAnsiTheme="minorHAnsi" w:cstheme="minorHAnsi"/>
          <w:sz w:val="24"/>
          <w:szCs w:val="24"/>
        </w:rPr>
        <w:t>, 529 plans and other investment providers, custody of your investments is maintained by you</w:t>
      </w:r>
      <w:r w:rsidR="00F77595">
        <w:rPr>
          <w:rFonts w:asciiTheme="minorHAnsi" w:hAnsiTheme="minorHAnsi" w:cstheme="minorHAnsi"/>
          <w:sz w:val="24"/>
          <w:szCs w:val="24"/>
        </w:rPr>
        <w:t xml:space="preserve"> </w:t>
      </w:r>
      <w:r w:rsidR="004C3AF0">
        <w:rPr>
          <w:rFonts w:asciiTheme="minorHAnsi" w:hAnsiTheme="minorHAnsi" w:cstheme="minorHAnsi"/>
          <w:sz w:val="24"/>
          <w:szCs w:val="24"/>
        </w:rPr>
        <w:t>directly with such providers.</w:t>
      </w:r>
    </w:p>
    <w:p w14:paraId="7D0068E7" w14:textId="13C5697F" w:rsidR="00F06DFE" w:rsidRDefault="00F06DFE" w:rsidP="0073122B">
      <w:pPr>
        <w:pStyle w:val="BodyText"/>
        <w:ind w:right="864"/>
        <w:rPr>
          <w:rFonts w:asciiTheme="minorHAnsi" w:hAnsiTheme="minorHAnsi" w:cstheme="minorHAnsi"/>
          <w:sz w:val="24"/>
          <w:szCs w:val="24"/>
        </w:rPr>
      </w:pPr>
    </w:p>
    <w:p w14:paraId="56418895" w14:textId="77777777" w:rsidR="007616EE" w:rsidRDefault="007616EE" w:rsidP="00F77595">
      <w:pPr>
        <w:pStyle w:val="BodyText"/>
        <w:ind w:right="864"/>
        <w:rPr>
          <w:rFonts w:asciiTheme="minorHAnsi" w:hAnsiTheme="minorHAnsi" w:cstheme="minorHAnsi"/>
          <w:sz w:val="24"/>
          <w:szCs w:val="24"/>
        </w:rPr>
      </w:pPr>
    </w:p>
    <w:p w14:paraId="459F58F1" w14:textId="77777777" w:rsidR="007616EE" w:rsidRDefault="007616EE" w:rsidP="00F77595">
      <w:pPr>
        <w:pStyle w:val="BodyText"/>
        <w:ind w:right="864"/>
        <w:rPr>
          <w:rFonts w:asciiTheme="minorHAnsi" w:hAnsiTheme="minorHAnsi" w:cstheme="minorHAnsi"/>
          <w:sz w:val="24"/>
          <w:szCs w:val="24"/>
        </w:rPr>
      </w:pPr>
    </w:p>
    <w:p w14:paraId="37F9B19C" w14:textId="77777777" w:rsidR="007616EE" w:rsidRDefault="007616EE" w:rsidP="00F77595">
      <w:pPr>
        <w:pStyle w:val="BodyText"/>
        <w:ind w:right="864"/>
        <w:rPr>
          <w:rFonts w:asciiTheme="minorHAnsi" w:hAnsiTheme="minorHAnsi" w:cstheme="minorHAnsi"/>
          <w:sz w:val="24"/>
          <w:szCs w:val="24"/>
        </w:rPr>
      </w:pPr>
    </w:p>
    <w:p w14:paraId="32CC50AF" w14:textId="77777777" w:rsidR="007616EE" w:rsidRDefault="007616EE" w:rsidP="00F77595">
      <w:pPr>
        <w:pStyle w:val="BodyText"/>
        <w:ind w:right="864"/>
        <w:rPr>
          <w:rFonts w:asciiTheme="minorHAnsi" w:hAnsiTheme="minorHAnsi" w:cstheme="minorHAnsi"/>
          <w:sz w:val="24"/>
          <w:szCs w:val="24"/>
        </w:rPr>
      </w:pPr>
    </w:p>
    <w:p w14:paraId="24836612" w14:textId="011F8F62" w:rsidR="00F77595" w:rsidRDefault="00F06DFE" w:rsidP="00F77595">
      <w:pPr>
        <w:pStyle w:val="BodyText"/>
        <w:ind w:right="864"/>
        <w:rPr>
          <w:rFonts w:asciiTheme="minorHAnsi" w:hAnsiTheme="minorHAnsi" w:cstheme="minorHAnsi"/>
          <w:sz w:val="24"/>
          <w:szCs w:val="24"/>
        </w:rPr>
      </w:pPr>
      <w:r>
        <w:rPr>
          <w:rFonts w:asciiTheme="minorHAnsi" w:hAnsiTheme="minorHAnsi" w:cstheme="minorHAnsi"/>
          <w:sz w:val="24"/>
          <w:szCs w:val="24"/>
        </w:rPr>
        <w:lastRenderedPageBreak/>
        <w:t xml:space="preserve">The term “AWA” refers to </w:t>
      </w:r>
      <w:proofErr w:type="spellStart"/>
      <w:r>
        <w:rPr>
          <w:rFonts w:asciiTheme="minorHAnsi" w:hAnsiTheme="minorHAnsi" w:cstheme="minorHAnsi"/>
          <w:sz w:val="24"/>
          <w:szCs w:val="24"/>
        </w:rPr>
        <w:t>Arkadios</w:t>
      </w:r>
      <w:proofErr w:type="spellEnd"/>
      <w:r>
        <w:rPr>
          <w:rFonts w:asciiTheme="minorHAnsi" w:hAnsiTheme="minorHAnsi" w:cstheme="minorHAnsi"/>
          <w:sz w:val="24"/>
          <w:szCs w:val="24"/>
        </w:rPr>
        <w:t xml:space="preserve"> Capital Partner’s affiliate</w:t>
      </w:r>
      <w:r w:rsidR="0011240F">
        <w:rPr>
          <w:rFonts w:asciiTheme="minorHAnsi" w:hAnsiTheme="minorHAnsi" w:cstheme="minorHAnsi"/>
          <w:sz w:val="24"/>
          <w:szCs w:val="24"/>
        </w:rPr>
        <w:t xml:space="preserve">, </w:t>
      </w:r>
      <w:proofErr w:type="spellStart"/>
      <w:r w:rsidR="0011240F">
        <w:rPr>
          <w:rFonts w:asciiTheme="minorHAnsi" w:hAnsiTheme="minorHAnsi" w:cstheme="minorHAnsi"/>
          <w:sz w:val="24"/>
          <w:szCs w:val="24"/>
        </w:rPr>
        <w:t>Arkadios</w:t>
      </w:r>
      <w:proofErr w:type="spellEnd"/>
      <w:r w:rsidR="0011240F">
        <w:rPr>
          <w:rFonts w:asciiTheme="minorHAnsi" w:hAnsiTheme="minorHAnsi" w:cstheme="minorHAnsi"/>
          <w:sz w:val="24"/>
          <w:szCs w:val="24"/>
        </w:rPr>
        <w:t xml:space="preserve"> Wealth Advisors, another wholly owned subsidiary </w:t>
      </w:r>
      <w:r w:rsidR="00F77595">
        <w:rPr>
          <w:rFonts w:asciiTheme="minorHAnsi" w:hAnsiTheme="minorHAnsi" w:cstheme="minorHAnsi"/>
          <w:sz w:val="24"/>
          <w:szCs w:val="24"/>
        </w:rPr>
        <w:t xml:space="preserve">of </w:t>
      </w:r>
      <w:proofErr w:type="spellStart"/>
      <w:r w:rsidR="00F77595">
        <w:rPr>
          <w:rFonts w:asciiTheme="minorHAnsi" w:hAnsiTheme="minorHAnsi" w:cstheme="minorHAnsi"/>
          <w:sz w:val="24"/>
          <w:szCs w:val="24"/>
        </w:rPr>
        <w:t>Arkadios</w:t>
      </w:r>
      <w:proofErr w:type="spellEnd"/>
      <w:r w:rsidR="00F77595">
        <w:rPr>
          <w:rFonts w:asciiTheme="minorHAnsi" w:hAnsiTheme="minorHAnsi" w:cstheme="minorHAnsi"/>
          <w:sz w:val="24"/>
          <w:szCs w:val="24"/>
        </w:rPr>
        <w:t xml:space="preserve"> Holdings </w:t>
      </w:r>
      <w:r w:rsidR="0011240F">
        <w:rPr>
          <w:rFonts w:asciiTheme="minorHAnsi" w:hAnsiTheme="minorHAnsi" w:cstheme="minorHAnsi"/>
          <w:sz w:val="24"/>
          <w:szCs w:val="24"/>
        </w:rPr>
        <w:t>and an SEC Registered Investment Adviser.</w:t>
      </w:r>
      <w:r w:rsidR="007C3C3A">
        <w:rPr>
          <w:rFonts w:asciiTheme="minorHAnsi" w:hAnsiTheme="minorHAnsi" w:cstheme="minorHAnsi"/>
          <w:sz w:val="24"/>
          <w:szCs w:val="24"/>
        </w:rPr>
        <w:t xml:space="preserve"> AWA </w:t>
      </w:r>
      <w:r w:rsidR="00253704">
        <w:rPr>
          <w:rFonts w:asciiTheme="minorHAnsi" w:hAnsiTheme="minorHAnsi" w:cstheme="minorHAnsi"/>
          <w:sz w:val="24"/>
          <w:szCs w:val="24"/>
        </w:rPr>
        <w:t>does not provide brokerage services, but by separate contractual agreement with you, AWA can provide investment advisory and non-discretionary and/or discretionary</w:t>
      </w:r>
      <w:r w:rsidR="003A546C">
        <w:rPr>
          <w:rFonts w:asciiTheme="minorHAnsi" w:hAnsiTheme="minorHAnsi" w:cstheme="minorHAnsi"/>
          <w:sz w:val="24"/>
          <w:szCs w:val="24"/>
        </w:rPr>
        <w:t xml:space="preserve"> account management services to your AC account (AWA)</w:t>
      </w:r>
      <w:r w:rsidR="00F222A1">
        <w:rPr>
          <w:rFonts w:asciiTheme="minorHAnsi" w:hAnsiTheme="minorHAnsi" w:cstheme="minorHAnsi"/>
          <w:sz w:val="24"/>
          <w:szCs w:val="24"/>
        </w:rPr>
        <w:t>.</w:t>
      </w:r>
      <w:r w:rsidR="00B70EF5">
        <w:rPr>
          <w:rStyle w:val="FootnoteReference"/>
          <w:rFonts w:asciiTheme="minorHAnsi" w:hAnsiTheme="minorHAnsi" w:cstheme="minorHAnsi"/>
          <w:sz w:val="24"/>
          <w:szCs w:val="24"/>
        </w:rPr>
        <w:footnoteReference w:id="1"/>
      </w:r>
      <w:r w:rsidR="00F77595">
        <w:rPr>
          <w:rFonts w:asciiTheme="minorHAnsi" w:hAnsiTheme="minorHAnsi" w:cstheme="minorHAnsi"/>
          <w:sz w:val="24"/>
          <w:szCs w:val="24"/>
        </w:rPr>
        <w:t xml:space="preserve"> </w:t>
      </w:r>
    </w:p>
    <w:p w14:paraId="6AB9113A" w14:textId="77777777" w:rsidR="00B679C1" w:rsidRPr="0073122B" w:rsidRDefault="00B679C1" w:rsidP="00F77595">
      <w:pPr>
        <w:pStyle w:val="BodyText"/>
        <w:ind w:right="864"/>
        <w:rPr>
          <w:rFonts w:asciiTheme="minorHAnsi" w:hAnsiTheme="minorHAnsi" w:cstheme="minorHAnsi"/>
          <w:sz w:val="24"/>
          <w:szCs w:val="24"/>
        </w:rPr>
      </w:pPr>
    </w:p>
    <w:p w14:paraId="45F2CE18" w14:textId="77777777" w:rsidR="009170F5" w:rsidRPr="00FC2068" w:rsidRDefault="009170F5" w:rsidP="00BD41FD">
      <w:pPr>
        <w:pStyle w:val="BodyText"/>
        <w:ind w:right="864" w:firstLine="119"/>
        <w:rPr>
          <w:rFonts w:ascii="Times New Roman" w:hAnsi="Times New Roman" w:cs="Times New Roman"/>
          <w:sz w:val="24"/>
          <w:szCs w:val="24"/>
          <w:highlight w:val="yellow"/>
        </w:rPr>
      </w:pPr>
    </w:p>
    <w:p w14:paraId="4EDE0E61" w14:textId="7B5FA60F" w:rsidR="00BD41FD" w:rsidRPr="00A91A4E" w:rsidRDefault="00DC5A1A" w:rsidP="006C0A0F">
      <w:pPr>
        <w:pStyle w:val="Heading1"/>
        <w:numPr>
          <w:ilvl w:val="0"/>
          <w:numId w:val="31"/>
        </w:numPr>
        <w:rPr>
          <w:rFonts w:asciiTheme="minorHAnsi" w:hAnsiTheme="minorHAnsi" w:cstheme="minorHAnsi"/>
          <w:sz w:val="28"/>
          <w:szCs w:val="28"/>
        </w:rPr>
      </w:pPr>
      <w:bookmarkStart w:id="0" w:name="_Toc32246218"/>
      <w:r w:rsidRPr="00A91A4E">
        <w:rPr>
          <w:rFonts w:asciiTheme="minorHAnsi" w:hAnsiTheme="minorHAnsi" w:cstheme="minorHAnsi"/>
          <w:sz w:val="28"/>
          <w:szCs w:val="28"/>
        </w:rPr>
        <w:t xml:space="preserve">Your </w:t>
      </w:r>
      <w:r w:rsidR="00BD41FD" w:rsidRPr="00A91A4E">
        <w:rPr>
          <w:rFonts w:asciiTheme="minorHAnsi" w:hAnsiTheme="minorHAnsi" w:cstheme="minorHAnsi"/>
          <w:sz w:val="28"/>
          <w:szCs w:val="28"/>
        </w:rPr>
        <w:t xml:space="preserve">Brokerage </w:t>
      </w:r>
      <w:bookmarkEnd w:id="0"/>
      <w:r w:rsidRPr="00A91A4E">
        <w:rPr>
          <w:rFonts w:asciiTheme="minorHAnsi" w:hAnsiTheme="minorHAnsi" w:cstheme="minorHAnsi"/>
          <w:sz w:val="28"/>
          <w:szCs w:val="28"/>
        </w:rPr>
        <w:t xml:space="preserve">Relationship with </w:t>
      </w:r>
      <w:proofErr w:type="spellStart"/>
      <w:r w:rsidRPr="00A91A4E">
        <w:rPr>
          <w:rFonts w:asciiTheme="minorHAnsi" w:hAnsiTheme="minorHAnsi" w:cstheme="minorHAnsi"/>
          <w:sz w:val="28"/>
          <w:szCs w:val="28"/>
        </w:rPr>
        <w:t>Arkadios</w:t>
      </w:r>
      <w:proofErr w:type="spellEnd"/>
      <w:r w:rsidRPr="00A91A4E">
        <w:rPr>
          <w:rFonts w:asciiTheme="minorHAnsi" w:hAnsiTheme="minorHAnsi" w:cstheme="minorHAnsi"/>
          <w:sz w:val="28"/>
          <w:szCs w:val="28"/>
        </w:rPr>
        <w:t xml:space="preserve"> Capital </w:t>
      </w:r>
    </w:p>
    <w:p w14:paraId="328904D6" w14:textId="4273BF22" w:rsidR="00521F71" w:rsidRPr="00CD7F6A" w:rsidRDefault="00FA48D2" w:rsidP="00BD41FD">
      <w:pPr>
        <w:pStyle w:val="Default0"/>
        <w:ind w:left="120"/>
        <w:rPr>
          <w:rFonts w:asciiTheme="minorHAnsi" w:eastAsia="Arial" w:hAnsiTheme="minorHAnsi" w:cstheme="minorHAnsi"/>
          <w:bCs/>
          <w:color w:val="auto"/>
        </w:rPr>
      </w:pPr>
      <w:proofErr w:type="spellStart"/>
      <w:r w:rsidRPr="00CD7F6A">
        <w:rPr>
          <w:rFonts w:asciiTheme="minorHAnsi" w:eastAsia="Arial" w:hAnsiTheme="minorHAnsi" w:cstheme="minorHAnsi"/>
          <w:bCs/>
          <w:color w:val="auto"/>
        </w:rPr>
        <w:t>Arkadios</w:t>
      </w:r>
      <w:proofErr w:type="spellEnd"/>
      <w:r w:rsidRPr="00CD7F6A">
        <w:rPr>
          <w:rFonts w:asciiTheme="minorHAnsi" w:eastAsia="Arial" w:hAnsiTheme="minorHAnsi" w:cstheme="minorHAnsi"/>
          <w:bCs/>
          <w:color w:val="auto"/>
        </w:rPr>
        <w:t xml:space="preserve"> Capital offers </w:t>
      </w:r>
      <w:r w:rsidR="00CD7F6A" w:rsidRPr="00CD7F6A">
        <w:rPr>
          <w:rFonts w:asciiTheme="minorHAnsi" w:eastAsia="Arial" w:hAnsiTheme="minorHAnsi" w:cstheme="minorHAnsi"/>
          <w:bCs/>
          <w:color w:val="auto"/>
        </w:rPr>
        <w:t>full-service</w:t>
      </w:r>
      <w:r w:rsidR="00661C85" w:rsidRPr="00CD7F6A">
        <w:rPr>
          <w:rFonts w:asciiTheme="minorHAnsi" w:eastAsia="Arial" w:hAnsiTheme="minorHAnsi" w:cstheme="minorHAnsi"/>
          <w:bCs/>
          <w:color w:val="auto"/>
        </w:rPr>
        <w:t xml:space="preserve"> brokerage services and products to retail customers</w:t>
      </w:r>
      <w:r w:rsidR="007C562C" w:rsidRPr="00CD7F6A">
        <w:rPr>
          <w:rStyle w:val="FootnoteReference"/>
          <w:rFonts w:asciiTheme="minorHAnsi" w:eastAsia="Arial" w:hAnsiTheme="minorHAnsi" w:cstheme="minorHAnsi"/>
          <w:bCs/>
          <w:color w:val="auto"/>
        </w:rPr>
        <w:footnoteReference w:id="2"/>
      </w:r>
      <w:r w:rsidR="00661C85" w:rsidRPr="00CD7F6A">
        <w:rPr>
          <w:rFonts w:asciiTheme="minorHAnsi" w:eastAsia="Arial" w:hAnsiTheme="minorHAnsi" w:cstheme="minorHAnsi"/>
          <w:bCs/>
          <w:color w:val="auto"/>
        </w:rPr>
        <w:t xml:space="preserve">.  In acting as your broker/dealer, </w:t>
      </w:r>
      <w:proofErr w:type="spellStart"/>
      <w:r w:rsidR="00661C85" w:rsidRPr="00CD7F6A">
        <w:rPr>
          <w:rFonts w:asciiTheme="minorHAnsi" w:eastAsia="Arial" w:hAnsiTheme="minorHAnsi" w:cstheme="minorHAnsi"/>
          <w:bCs/>
          <w:color w:val="auto"/>
        </w:rPr>
        <w:t>Arkadios</w:t>
      </w:r>
      <w:proofErr w:type="spellEnd"/>
      <w:r w:rsidR="00661C85" w:rsidRPr="00CD7F6A">
        <w:rPr>
          <w:rFonts w:asciiTheme="minorHAnsi" w:eastAsia="Arial" w:hAnsiTheme="minorHAnsi" w:cstheme="minorHAnsi"/>
          <w:bCs/>
          <w:color w:val="auto"/>
        </w:rPr>
        <w:t xml:space="preserve"> Capital</w:t>
      </w:r>
      <w:r w:rsidR="00367A1A" w:rsidRPr="00CD7F6A">
        <w:rPr>
          <w:rFonts w:asciiTheme="minorHAnsi" w:eastAsia="Arial" w:hAnsiTheme="minorHAnsi" w:cstheme="minorHAnsi"/>
          <w:bCs/>
          <w:color w:val="auto"/>
        </w:rPr>
        <w:t xml:space="preserve"> and its account representatives are acting as your agent.  Under applicable laws, </w:t>
      </w:r>
      <w:proofErr w:type="gramStart"/>
      <w:r w:rsidR="00367A1A" w:rsidRPr="00CD7F6A">
        <w:rPr>
          <w:rFonts w:asciiTheme="minorHAnsi" w:eastAsia="Arial" w:hAnsiTheme="minorHAnsi" w:cstheme="minorHAnsi"/>
          <w:bCs/>
          <w:color w:val="auto"/>
        </w:rPr>
        <w:t>rules</w:t>
      </w:r>
      <w:proofErr w:type="gramEnd"/>
      <w:r w:rsidR="00367A1A" w:rsidRPr="00CD7F6A">
        <w:rPr>
          <w:rFonts w:asciiTheme="minorHAnsi" w:eastAsia="Arial" w:hAnsiTheme="minorHAnsi" w:cstheme="minorHAnsi"/>
          <w:bCs/>
          <w:color w:val="auto"/>
        </w:rPr>
        <w:t xml:space="preserve"> and regulations, when making investment </w:t>
      </w:r>
      <w:r w:rsidR="00DC5A1A" w:rsidRPr="00CD7F6A">
        <w:rPr>
          <w:rFonts w:asciiTheme="minorHAnsi" w:eastAsia="Arial" w:hAnsiTheme="minorHAnsi" w:cstheme="minorHAnsi"/>
          <w:bCs/>
          <w:color w:val="auto"/>
        </w:rPr>
        <w:t>recommendations</w:t>
      </w:r>
      <w:r w:rsidR="00367A1A" w:rsidRPr="00CD7F6A">
        <w:rPr>
          <w:rFonts w:asciiTheme="minorHAnsi" w:eastAsia="Arial" w:hAnsiTheme="minorHAnsi" w:cstheme="minorHAnsi"/>
          <w:bCs/>
          <w:color w:val="auto"/>
        </w:rPr>
        <w:t xml:space="preserve"> to retail customers, </w:t>
      </w:r>
      <w:proofErr w:type="spellStart"/>
      <w:r w:rsidR="00367A1A" w:rsidRPr="00CD7F6A">
        <w:rPr>
          <w:rFonts w:asciiTheme="minorHAnsi" w:eastAsia="Arial" w:hAnsiTheme="minorHAnsi" w:cstheme="minorHAnsi"/>
          <w:bCs/>
          <w:color w:val="auto"/>
        </w:rPr>
        <w:t>Arkadios</w:t>
      </w:r>
      <w:proofErr w:type="spellEnd"/>
      <w:r w:rsidR="00367A1A" w:rsidRPr="00CD7F6A">
        <w:rPr>
          <w:rFonts w:asciiTheme="minorHAnsi" w:eastAsia="Arial" w:hAnsiTheme="minorHAnsi" w:cstheme="minorHAnsi"/>
          <w:bCs/>
          <w:color w:val="auto"/>
        </w:rPr>
        <w:t xml:space="preserve"> Capital</w:t>
      </w:r>
      <w:r w:rsidR="00887B75" w:rsidRPr="00CD7F6A">
        <w:rPr>
          <w:rFonts w:asciiTheme="minorHAnsi" w:eastAsia="Arial" w:hAnsiTheme="minorHAnsi" w:cstheme="minorHAnsi"/>
          <w:bCs/>
          <w:color w:val="auto"/>
        </w:rPr>
        <w:t xml:space="preserve"> and other securities brokers have a duty to act in your best interest.  </w:t>
      </w:r>
      <w:r w:rsidR="00DC5A1A" w:rsidRPr="00CD7F6A">
        <w:rPr>
          <w:rFonts w:asciiTheme="minorHAnsi" w:eastAsia="Arial" w:hAnsiTheme="minorHAnsi" w:cstheme="minorHAnsi"/>
          <w:bCs/>
          <w:color w:val="auto"/>
        </w:rPr>
        <w:t xml:space="preserve">Acting in your </w:t>
      </w:r>
      <w:r w:rsidR="00521F71" w:rsidRPr="00CD7F6A">
        <w:rPr>
          <w:rFonts w:asciiTheme="minorHAnsi" w:eastAsia="Arial" w:hAnsiTheme="minorHAnsi" w:cstheme="minorHAnsi"/>
          <w:bCs/>
          <w:color w:val="auto"/>
        </w:rPr>
        <w:t>best</w:t>
      </w:r>
      <w:r w:rsidR="00DC5A1A" w:rsidRPr="00CD7F6A">
        <w:rPr>
          <w:rFonts w:asciiTheme="minorHAnsi" w:eastAsia="Arial" w:hAnsiTheme="minorHAnsi" w:cstheme="minorHAnsi"/>
          <w:bCs/>
          <w:color w:val="auto"/>
        </w:rPr>
        <w:t xml:space="preserve"> interest, however, is not the equivalent of acting in a </w:t>
      </w:r>
      <w:r w:rsidR="00521F71" w:rsidRPr="00CD7F6A">
        <w:rPr>
          <w:rFonts w:asciiTheme="minorHAnsi" w:eastAsia="Arial" w:hAnsiTheme="minorHAnsi" w:cstheme="minorHAnsi"/>
          <w:bCs/>
          <w:color w:val="auto"/>
        </w:rPr>
        <w:t>traditional</w:t>
      </w:r>
      <w:r w:rsidR="00DC5A1A" w:rsidRPr="00CD7F6A">
        <w:rPr>
          <w:rFonts w:asciiTheme="minorHAnsi" w:eastAsia="Arial" w:hAnsiTheme="minorHAnsi" w:cstheme="minorHAnsi"/>
          <w:bCs/>
          <w:color w:val="auto"/>
        </w:rPr>
        <w:t xml:space="preserve"> fiduciary relationship and when acting in their capacities as your securities and insurance broker, </w:t>
      </w:r>
      <w:proofErr w:type="spellStart"/>
      <w:r w:rsidR="00DC5A1A" w:rsidRPr="00CD7F6A">
        <w:rPr>
          <w:rFonts w:asciiTheme="minorHAnsi" w:eastAsia="Arial" w:hAnsiTheme="minorHAnsi" w:cstheme="minorHAnsi"/>
          <w:bCs/>
          <w:color w:val="auto"/>
        </w:rPr>
        <w:t>Arkadios</w:t>
      </w:r>
      <w:proofErr w:type="spellEnd"/>
      <w:r w:rsidR="00DC5A1A" w:rsidRPr="00CD7F6A">
        <w:rPr>
          <w:rFonts w:asciiTheme="minorHAnsi" w:eastAsia="Arial" w:hAnsiTheme="minorHAnsi" w:cstheme="minorHAnsi"/>
          <w:bCs/>
          <w:color w:val="auto"/>
        </w:rPr>
        <w:t xml:space="preserve"> </w:t>
      </w:r>
      <w:r w:rsidR="00521F71" w:rsidRPr="00CD7F6A">
        <w:rPr>
          <w:rFonts w:asciiTheme="minorHAnsi" w:eastAsia="Arial" w:hAnsiTheme="minorHAnsi" w:cstheme="minorHAnsi"/>
          <w:bCs/>
          <w:color w:val="auto"/>
        </w:rPr>
        <w:t>Capital</w:t>
      </w:r>
      <w:r w:rsidR="00DC5A1A" w:rsidRPr="00CD7F6A">
        <w:rPr>
          <w:rFonts w:asciiTheme="minorHAnsi" w:eastAsia="Arial" w:hAnsiTheme="minorHAnsi" w:cstheme="minorHAnsi"/>
          <w:bCs/>
          <w:color w:val="auto"/>
        </w:rPr>
        <w:t xml:space="preserve"> and its account </w:t>
      </w:r>
      <w:r w:rsidR="00521F71" w:rsidRPr="00CD7F6A">
        <w:rPr>
          <w:rFonts w:asciiTheme="minorHAnsi" w:eastAsia="Arial" w:hAnsiTheme="minorHAnsi" w:cstheme="minorHAnsi"/>
          <w:bCs/>
          <w:color w:val="auto"/>
        </w:rPr>
        <w:t>representatives</w:t>
      </w:r>
      <w:r w:rsidR="00DC5A1A" w:rsidRPr="00CD7F6A">
        <w:rPr>
          <w:rFonts w:asciiTheme="minorHAnsi" w:eastAsia="Arial" w:hAnsiTheme="minorHAnsi" w:cstheme="minorHAnsi"/>
          <w:bCs/>
          <w:color w:val="auto"/>
        </w:rPr>
        <w:t xml:space="preserve"> have conflicts of interest with respect to their investment recommendations </w:t>
      </w:r>
      <w:r w:rsidR="00521F71" w:rsidRPr="00CD7F6A">
        <w:rPr>
          <w:rFonts w:asciiTheme="minorHAnsi" w:eastAsia="Arial" w:hAnsiTheme="minorHAnsi" w:cstheme="minorHAnsi"/>
          <w:bCs/>
          <w:color w:val="auto"/>
        </w:rPr>
        <w:t>and other</w:t>
      </w:r>
      <w:r w:rsidR="00DC5A1A" w:rsidRPr="00CD7F6A">
        <w:rPr>
          <w:rFonts w:asciiTheme="minorHAnsi" w:eastAsia="Arial" w:hAnsiTheme="minorHAnsi" w:cstheme="minorHAnsi"/>
          <w:bCs/>
          <w:color w:val="auto"/>
        </w:rPr>
        <w:t xml:space="preserve"> relationships with you and </w:t>
      </w:r>
      <w:r w:rsidR="00500AC2" w:rsidRPr="00CD7F6A">
        <w:rPr>
          <w:rFonts w:asciiTheme="minorHAnsi" w:eastAsia="Arial" w:hAnsiTheme="minorHAnsi" w:cstheme="minorHAnsi"/>
          <w:bCs/>
          <w:color w:val="auto"/>
        </w:rPr>
        <w:t xml:space="preserve">other companies such as mutual funds and other investment providers we represent.  All recommendations regarding purchases or sales in your brokerage account will be made by your </w:t>
      </w:r>
      <w:proofErr w:type="spellStart"/>
      <w:r w:rsidR="00500AC2" w:rsidRPr="00CD7F6A">
        <w:rPr>
          <w:rFonts w:asciiTheme="minorHAnsi" w:eastAsia="Arial" w:hAnsiTheme="minorHAnsi" w:cstheme="minorHAnsi"/>
          <w:bCs/>
          <w:color w:val="auto"/>
        </w:rPr>
        <w:t>Arkadios</w:t>
      </w:r>
      <w:proofErr w:type="spellEnd"/>
      <w:r w:rsidR="00500AC2" w:rsidRPr="00CD7F6A">
        <w:rPr>
          <w:rFonts w:asciiTheme="minorHAnsi" w:eastAsia="Arial" w:hAnsiTheme="minorHAnsi" w:cstheme="minorHAnsi"/>
          <w:bCs/>
          <w:color w:val="auto"/>
        </w:rPr>
        <w:t xml:space="preserve"> Capital representative in a broker</w:t>
      </w:r>
      <w:r w:rsidR="00521F71" w:rsidRPr="00CD7F6A">
        <w:rPr>
          <w:rFonts w:asciiTheme="minorHAnsi" w:eastAsia="Arial" w:hAnsiTheme="minorHAnsi" w:cstheme="minorHAnsi"/>
          <w:bCs/>
          <w:color w:val="auto"/>
        </w:rPr>
        <w:t xml:space="preserve">/dealer capacity only.  Brokerage accounts are different from advisory accounts. </w:t>
      </w:r>
    </w:p>
    <w:p w14:paraId="7AE5F68B" w14:textId="4A51D06D" w:rsidR="00D03C8E" w:rsidRPr="00CD7F6A" w:rsidRDefault="00D03C8E" w:rsidP="00BD41FD">
      <w:pPr>
        <w:pStyle w:val="Default0"/>
        <w:ind w:left="120"/>
        <w:rPr>
          <w:rFonts w:asciiTheme="minorHAnsi" w:eastAsia="Arial" w:hAnsiTheme="minorHAnsi" w:cstheme="minorHAnsi"/>
          <w:bCs/>
          <w:color w:val="auto"/>
        </w:rPr>
      </w:pPr>
    </w:p>
    <w:p w14:paraId="3FB5BBFE" w14:textId="49416439" w:rsidR="00D03C8E" w:rsidRPr="00CD7F6A" w:rsidRDefault="00D03C8E" w:rsidP="00BD41FD">
      <w:pPr>
        <w:pStyle w:val="Default0"/>
        <w:ind w:left="120"/>
        <w:rPr>
          <w:rFonts w:asciiTheme="minorHAnsi" w:eastAsia="Arial" w:hAnsiTheme="minorHAnsi" w:cstheme="minorHAnsi"/>
          <w:bCs/>
          <w:color w:val="auto"/>
        </w:rPr>
      </w:pPr>
      <w:r w:rsidRPr="00CD7F6A">
        <w:rPr>
          <w:rFonts w:asciiTheme="minorHAnsi" w:eastAsia="Arial" w:hAnsiTheme="minorHAnsi" w:cstheme="minorHAnsi"/>
          <w:bCs/>
          <w:color w:val="auto"/>
        </w:rPr>
        <w:t>You will pay AC</w:t>
      </w:r>
      <w:r w:rsidR="00DF0C04" w:rsidRPr="00CD7F6A">
        <w:rPr>
          <w:rFonts w:asciiTheme="minorHAnsi" w:eastAsia="Arial" w:hAnsiTheme="minorHAnsi" w:cstheme="minorHAnsi"/>
          <w:bCs/>
          <w:color w:val="auto"/>
        </w:rPr>
        <w:t xml:space="preserve"> and/or your AC representative for services AC provides to you in your brokerage account through sales commissions and payments AC receives from third parties.  Based on the nature of your investments, AC receives direct or indirect compensation in connection with the services AC provides to you.</w:t>
      </w:r>
    </w:p>
    <w:p w14:paraId="6CAEC0C9" w14:textId="0726D64F" w:rsidR="00AB6B97" w:rsidRPr="00CD7F6A" w:rsidRDefault="00AB6B97" w:rsidP="00BD41FD">
      <w:pPr>
        <w:pStyle w:val="Default0"/>
        <w:ind w:left="120"/>
        <w:rPr>
          <w:rFonts w:asciiTheme="minorHAnsi" w:eastAsia="Arial" w:hAnsiTheme="minorHAnsi" w:cstheme="minorHAnsi"/>
          <w:bCs/>
          <w:color w:val="auto"/>
        </w:rPr>
      </w:pPr>
    </w:p>
    <w:p w14:paraId="77F84EC4" w14:textId="0C79BB6F" w:rsidR="00AB6B97" w:rsidRPr="00CD7F6A" w:rsidRDefault="00AB6B97" w:rsidP="00BD41FD">
      <w:pPr>
        <w:pStyle w:val="Default0"/>
        <w:ind w:left="120"/>
        <w:rPr>
          <w:rFonts w:asciiTheme="minorHAnsi" w:eastAsia="Arial" w:hAnsiTheme="minorHAnsi" w:cstheme="minorHAnsi"/>
          <w:bCs/>
          <w:color w:val="auto"/>
        </w:rPr>
      </w:pPr>
      <w:r w:rsidRPr="00CD7F6A">
        <w:rPr>
          <w:rFonts w:asciiTheme="minorHAnsi" w:eastAsia="Arial" w:hAnsiTheme="minorHAnsi" w:cstheme="minorHAnsi"/>
          <w:bCs/>
          <w:color w:val="auto"/>
        </w:rPr>
        <w:t xml:space="preserve">Please see the materials which follow as well as the additional material referenced in this </w:t>
      </w:r>
      <w:r w:rsidR="00692CA4">
        <w:rPr>
          <w:rFonts w:asciiTheme="minorHAnsi" w:eastAsia="Arial" w:hAnsiTheme="minorHAnsi" w:cstheme="minorHAnsi"/>
          <w:bCs/>
          <w:color w:val="auto"/>
        </w:rPr>
        <w:t>document</w:t>
      </w:r>
      <w:r w:rsidRPr="00CD7F6A">
        <w:rPr>
          <w:rFonts w:asciiTheme="minorHAnsi" w:eastAsia="Arial" w:hAnsiTheme="minorHAnsi" w:cstheme="minorHAnsi"/>
          <w:bCs/>
          <w:color w:val="auto"/>
        </w:rPr>
        <w:t xml:space="preserve"> for additional information or ask your account representative to answer any questions you may have concerning our obligation to make investment recommendations in your best interest and/or our conflicts of interest in making such recommendations. </w:t>
      </w:r>
    </w:p>
    <w:p w14:paraId="68C4EF33" w14:textId="66195AF5" w:rsidR="00AB6B97" w:rsidRPr="00CD7F6A" w:rsidRDefault="00AB6B97" w:rsidP="00BD41FD">
      <w:pPr>
        <w:pStyle w:val="Default0"/>
        <w:ind w:left="120"/>
        <w:rPr>
          <w:rFonts w:asciiTheme="minorHAnsi" w:eastAsia="Arial" w:hAnsiTheme="minorHAnsi" w:cstheme="minorHAnsi"/>
          <w:bCs/>
          <w:color w:val="auto"/>
        </w:rPr>
      </w:pPr>
    </w:p>
    <w:p w14:paraId="75C34443" w14:textId="5637C2DB" w:rsidR="00AB6B97" w:rsidRPr="00CD7F6A" w:rsidRDefault="00AB6B97" w:rsidP="00BD41FD">
      <w:pPr>
        <w:pStyle w:val="Default0"/>
        <w:ind w:left="120"/>
        <w:rPr>
          <w:rFonts w:asciiTheme="minorHAnsi" w:eastAsia="Arial" w:hAnsiTheme="minorHAnsi" w:cstheme="minorHAnsi"/>
          <w:bCs/>
          <w:color w:val="auto"/>
        </w:rPr>
      </w:pPr>
      <w:r w:rsidRPr="00CD7F6A">
        <w:rPr>
          <w:rFonts w:asciiTheme="minorHAnsi" w:eastAsia="Arial" w:hAnsiTheme="minorHAnsi" w:cstheme="minorHAnsi"/>
          <w:bCs/>
          <w:color w:val="auto"/>
        </w:rPr>
        <w:t>Your brokerage relationship with AC is a transactional relationship and unless all parties expressly agree otherwise in writing:</w:t>
      </w:r>
    </w:p>
    <w:p w14:paraId="343B417F" w14:textId="604C7B3A" w:rsidR="00AB6B97" w:rsidRPr="00CD7F6A" w:rsidRDefault="00AB6B97" w:rsidP="00BD41FD">
      <w:pPr>
        <w:pStyle w:val="Default0"/>
        <w:ind w:left="120"/>
        <w:rPr>
          <w:rFonts w:asciiTheme="minorHAnsi" w:eastAsia="Arial" w:hAnsiTheme="minorHAnsi" w:cstheme="minorHAnsi"/>
          <w:bCs/>
          <w:color w:val="auto"/>
        </w:rPr>
      </w:pPr>
    </w:p>
    <w:p w14:paraId="712054F5" w14:textId="081D93B9" w:rsidR="00AB6B97" w:rsidRPr="00CD7F6A" w:rsidRDefault="00AB6B97" w:rsidP="00AB6B97">
      <w:pPr>
        <w:pStyle w:val="Default0"/>
        <w:numPr>
          <w:ilvl w:val="0"/>
          <w:numId w:val="30"/>
        </w:numPr>
        <w:rPr>
          <w:rFonts w:asciiTheme="minorHAnsi" w:eastAsia="Arial" w:hAnsiTheme="minorHAnsi" w:cstheme="minorHAnsi"/>
          <w:bCs/>
          <w:color w:val="auto"/>
        </w:rPr>
      </w:pPr>
      <w:proofErr w:type="spellStart"/>
      <w:r w:rsidRPr="00CD7F6A">
        <w:rPr>
          <w:rFonts w:asciiTheme="minorHAnsi" w:eastAsia="Arial" w:hAnsiTheme="minorHAnsi" w:cstheme="minorHAnsi"/>
          <w:bCs/>
          <w:color w:val="auto"/>
        </w:rPr>
        <w:t>Arkadios</w:t>
      </w:r>
      <w:proofErr w:type="spellEnd"/>
      <w:r w:rsidRPr="00CD7F6A">
        <w:rPr>
          <w:rFonts w:asciiTheme="minorHAnsi" w:eastAsia="Arial" w:hAnsiTheme="minorHAnsi" w:cstheme="minorHAnsi"/>
          <w:bCs/>
          <w:color w:val="auto"/>
        </w:rPr>
        <w:t xml:space="preserve"> Capital and its account representatives shall have no discretionary authority to buy, sell, or otherwise transact</w:t>
      </w:r>
      <w:r w:rsidR="00B8505E" w:rsidRPr="00CD7F6A">
        <w:rPr>
          <w:rFonts w:asciiTheme="minorHAnsi" w:eastAsia="Arial" w:hAnsiTheme="minorHAnsi" w:cstheme="minorHAnsi"/>
          <w:bCs/>
          <w:color w:val="auto"/>
        </w:rPr>
        <w:t xml:space="preserve"> with regard to investments or other assets held in your brokerage account (or otherwise directly with an investment provider; and</w:t>
      </w:r>
    </w:p>
    <w:p w14:paraId="71B8E849" w14:textId="77777777" w:rsidR="00680590" w:rsidRPr="00CD7F6A" w:rsidRDefault="00680590" w:rsidP="00680590">
      <w:pPr>
        <w:pStyle w:val="Default0"/>
        <w:ind w:left="840"/>
        <w:rPr>
          <w:rFonts w:asciiTheme="minorHAnsi" w:eastAsia="Arial" w:hAnsiTheme="minorHAnsi" w:cstheme="minorHAnsi"/>
          <w:bCs/>
          <w:color w:val="auto"/>
        </w:rPr>
      </w:pPr>
    </w:p>
    <w:p w14:paraId="23904822" w14:textId="25EB304D" w:rsidR="00B8505E" w:rsidRDefault="00B8505E" w:rsidP="00AB6B97">
      <w:pPr>
        <w:pStyle w:val="Default0"/>
        <w:numPr>
          <w:ilvl w:val="0"/>
          <w:numId w:val="30"/>
        </w:numPr>
        <w:rPr>
          <w:rFonts w:asciiTheme="minorHAnsi" w:eastAsia="Arial" w:hAnsiTheme="minorHAnsi" w:cstheme="minorHAnsi"/>
          <w:bCs/>
          <w:color w:val="auto"/>
        </w:rPr>
      </w:pPr>
      <w:r w:rsidRPr="00CD7F6A">
        <w:rPr>
          <w:rFonts w:asciiTheme="minorHAnsi" w:eastAsia="Arial" w:hAnsiTheme="minorHAnsi" w:cstheme="minorHAnsi"/>
          <w:bCs/>
          <w:color w:val="auto"/>
        </w:rPr>
        <w:t>After each transaction in your brokerage account</w:t>
      </w:r>
      <w:r w:rsidR="007D329E" w:rsidRPr="00CD7F6A">
        <w:rPr>
          <w:rFonts w:asciiTheme="minorHAnsi" w:eastAsia="Arial" w:hAnsiTheme="minorHAnsi" w:cstheme="minorHAnsi"/>
          <w:bCs/>
          <w:color w:val="auto"/>
        </w:rPr>
        <w:t xml:space="preserve"> (or directly with and investment provider) made by your or any other agent who is authorized to transact in your account is completed, we shall not have any continuing or ongoing obligation to review or make recommendations</w:t>
      </w:r>
      <w:r w:rsidR="00322447">
        <w:rPr>
          <w:rFonts w:asciiTheme="minorHAnsi" w:eastAsia="Arial" w:hAnsiTheme="minorHAnsi" w:cstheme="minorHAnsi"/>
          <w:bCs/>
          <w:color w:val="auto"/>
        </w:rPr>
        <w:t xml:space="preserve"> unless agreed upon by you</w:t>
      </w:r>
      <w:r w:rsidR="00692CA4">
        <w:rPr>
          <w:rFonts w:asciiTheme="minorHAnsi" w:eastAsia="Arial" w:hAnsiTheme="minorHAnsi" w:cstheme="minorHAnsi"/>
          <w:bCs/>
          <w:color w:val="auto"/>
        </w:rPr>
        <w:t>,</w:t>
      </w:r>
      <w:r w:rsidR="007D329E" w:rsidRPr="00CD7F6A">
        <w:rPr>
          <w:rFonts w:asciiTheme="minorHAnsi" w:eastAsia="Arial" w:hAnsiTheme="minorHAnsi" w:cstheme="minorHAnsi"/>
          <w:bCs/>
          <w:color w:val="auto"/>
        </w:rPr>
        <w:t xml:space="preserve"> for the investment of </w:t>
      </w:r>
      <w:r w:rsidR="00680590" w:rsidRPr="00CD7F6A">
        <w:rPr>
          <w:rFonts w:asciiTheme="minorHAnsi" w:eastAsia="Arial" w:hAnsiTheme="minorHAnsi" w:cstheme="minorHAnsi"/>
          <w:bCs/>
          <w:color w:val="auto"/>
        </w:rPr>
        <w:t>securities, cash, annuities, insurance policies, guaranteed investment contracts, or any other form of investment held in or through your brokerage account.</w:t>
      </w:r>
    </w:p>
    <w:p w14:paraId="2BB39D62" w14:textId="77777777" w:rsidR="00DF0C04" w:rsidRPr="00CD7F6A" w:rsidRDefault="00DF0C04" w:rsidP="00BD41FD">
      <w:pPr>
        <w:pStyle w:val="Default0"/>
        <w:ind w:left="120"/>
        <w:rPr>
          <w:rFonts w:asciiTheme="minorHAnsi" w:eastAsia="Arial" w:hAnsiTheme="minorHAnsi" w:cstheme="minorHAnsi"/>
          <w:bCs/>
          <w:color w:val="auto"/>
        </w:rPr>
      </w:pPr>
    </w:p>
    <w:p w14:paraId="7704071E" w14:textId="2CABBBE7" w:rsidR="00521F71" w:rsidRPr="00CD7F6A" w:rsidRDefault="00A91A4E" w:rsidP="00A91A4E">
      <w:pPr>
        <w:pStyle w:val="Default0"/>
        <w:numPr>
          <w:ilvl w:val="0"/>
          <w:numId w:val="32"/>
        </w:numPr>
        <w:rPr>
          <w:rFonts w:asciiTheme="minorHAnsi" w:eastAsia="Arial" w:hAnsiTheme="minorHAnsi" w:cstheme="minorHAnsi"/>
          <w:b/>
          <w:color w:val="auto"/>
        </w:rPr>
      </w:pPr>
      <w:r w:rsidRPr="00CD7F6A">
        <w:rPr>
          <w:rFonts w:asciiTheme="minorHAnsi" w:eastAsia="Arial" w:hAnsiTheme="minorHAnsi" w:cstheme="minorHAnsi"/>
          <w:b/>
          <w:color w:val="auto"/>
        </w:rPr>
        <w:t>Available Investment Options</w:t>
      </w:r>
    </w:p>
    <w:p w14:paraId="5354699A" w14:textId="396F4BBA" w:rsidR="00A91A4E" w:rsidRPr="00CD7F6A" w:rsidRDefault="001905E0" w:rsidP="00A91A4E">
      <w:pPr>
        <w:pStyle w:val="Default0"/>
        <w:rPr>
          <w:rFonts w:asciiTheme="minorHAnsi" w:eastAsia="Arial" w:hAnsiTheme="minorHAnsi" w:cstheme="minorHAnsi"/>
          <w:bCs/>
          <w:color w:val="auto"/>
        </w:rPr>
      </w:pPr>
      <w:r w:rsidRPr="00CD7F6A">
        <w:rPr>
          <w:rFonts w:asciiTheme="minorHAnsi" w:eastAsia="Arial" w:hAnsiTheme="minorHAnsi" w:cstheme="minorHAnsi"/>
          <w:bCs/>
          <w:color w:val="auto"/>
        </w:rPr>
        <w:t xml:space="preserve">Securities and other investments available to AC brokerage account clients </w:t>
      </w:r>
      <w:r w:rsidR="004A7DED" w:rsidRPr="00CD7F6A">
        <w:rPr>
          <w:rFonts w:asciiTheme="minorHAnsi" w:eastAsia="Arial" w:hAnsiTheme="minorHAnsi" w:cstheme="minorHAnsi"/>
          <w:bCs/>
          <w:color w:val="auto"/>
        </w:rPr>
        <w:t xml:space="preserve">(“our platform”) </w:t>
      </w:r>
      <w:r w:rsidRPr="00CD7F6A">
        <w:rPr>
          <w:rFonts w:asciiTheme="minorHAnsi" w:eastAsia="Arial" w:hAnsiTheme="minorHAnsi" w:cstheme="minorHAnsi"/>
          <w:bCs/>
          <w:color w:val="auto"/>
        </w:rPr>
        <w:t xml:space="preserve">include all securities listed on U.S exchanges.  Mutual funds, annuities, unit investment trusts, 529 plans and certain other unlisted investments available to </w:t>
      </w:r>
      <w:r w:rsidR="00A97A49">
        <w:rPr>
          <w:rFonts w:asciiTheme="minorHAnsi" w:eastAsia="Arial" w:hAnsiTheme="minorHAnsi" w:cstheme="minorHAnsi"/>
          <w:bCs/>
          <w:color w:val="auto"/>
        </w:rPr>
        <w:t>AC</w:t>
      </w:r>
      <w:r w:rsidRPr="00CD7F6A">
        <w:rPr>
          <w:rFonts w:asciiTheme="minorHAnsi" w:eastAsia="Arial" w:hAnsiTheme="minorHAnsi" w:cstheme="minorHAnsi"/>
          <w:bCs/>
          <w:color w:val="auto"/>
        </w:rPr>
        <w:t xml:space="preserve"> brokerage account </w:t>
      </w:r>
      <w:r w:rsidR="00FE61FA" w:rsidRPr="00CD7F6A">
        <w:rPr>
          <w:rFonts w:asciiTheme="minorHAnsi" w:eastAsia="Arial" w:hAnsiTheme="minorHAnsi" w:cstheme="minorHAnsi"/>
          <w:bCs/>
          <w:color w:val="auto"/>
        </w:rPr>
        <w:t>clients</w:t>
      </w:r>
      <w:r w:rsidR="00544438" w:rsidRPr="00CD7F6A">
        <w:rPr>
          <w:rFonts w:asciiTheme="minorHAnsi" w:eastAsia="Arial" w:hAnsiTheme="minorHAnsi" w:cstheme="minorHAnsi"/>
          <w:bCs/>
          <w:color w:val="auto"/>
        </w:rPr>
        <w:t xml:space="preserve"> are limited to investments which are (1) made available to our clients by NFS, (or any successor clearing firm) and (2) other investments whose sponsors or affiliates have contracted directly </w:t>
      </w:r>
      <w:r w:rsidR="00FE61FA" w:rsidRPr="00CD7F6A">
        <w:rPr>
          <w:rFonts w:asciiTheme="minorHAnsi" w:eastAsia="Arial" w:hAnsiTheme="minorHAnsi" w:cstheme="minorHAnsi"/>
          <w:bCs/>
          <w:color w:val="auto"/>
        </w:rPr>
        <w:t>with</w:t>
      </w:r>
      <w:r w:rsidR="00544438" w:rsidRPr="00CD7F6A">
        <w:rPr>
          <w:rFonts w:asciiTheme="minorHAnsi" w:eastAsia="Arial" w:hAnsiTheme="minorHAnsi" w:cstheme="minorHAnsi"/>
          <w:bCs/>
          <w:color w:val="auto"/>
        </w:rPr>
        <w:t xml:space="preserve"> us </w:t>
      </w:r>
      <w:r w:rsidR="00FE61FA" w:rsidRPr="00CD7F6A">
        <w:rPr>
          <w:rFonts w:asciiTheme="minorHAnsi" w:eastAsia="Arial" w:hAnsiTheme="minorHAnsi" w:cstheme="minorHAnsi"/>
          <w:bCs/>
          <w:color w:val="auto"/>
        </w:rPr>
        <w:t>to provide selling agency and other distribution services.</w:t>
      </w:r>
      <w:r w:rsidR="000526C3" w:rsidRPr="00CD7F6A">
        <w:rPr>
          <w:rFonts w:asciiTheme="minorHAnsi" w:eastAsia="Arial" w:hAnsiTheme="minorHAnsi" w:cstheme="minorHAnsi"/>
          <w:bCs/>
          <w:color w:val="auto"/>
        </w:rPr>
        <w:t xml:space="preserve">  </w:t>
      </w:r>
      <w:r w:rsidR="00D72C0A" w:rsidRPr="00CD7F6A">
        <w:rPr>
          <w:rFonts w:asciiTheme="minorHAnsi" w:eastAsia="Arial" w:hAnsiTheme="minorHAnsi" w:cstheme="minorHAnsi"/>
          <w:bCs/>
          <w:color w:val="auto"/>
        </w:rPr>
        <w:t xml:space="preserve">The fact that an investment is available on our platform is not any form of investment recommendation.  All investments are subject to market risks and fluctuate in value, so that an investor’s shares, when </w:t>
      </w:r>
      <w:proofErr w:type="gramStart"/>
      <w:r w:rsidR="00D72C0A" w:rsidRPr="00CD7F6A">
        <w:rPr>
          <w:rFonts w:asciiTheme="minorHAnsi" w:eastAsia="Arial" w:hAnsiTheme="minorHAnsi" w:cstheme="minorHAnsi"/>
          <w:bCs/>
          <w:color w:val="auto"/>
        </w:rPr>
        <w:t>redeemed</w:t>
      </w:r>
      <w:proofErr w:type="gramEnd"/>
      <w:r w:rsidR="00D72C0A" w:rsidRPr="00CD7F6A">
        <w:rPr>
          <w:rFonts w:asciiTheme="minorHAnsi" w:eastAsia="Arial" w:hAnsiTheme="minorHAnsi" w:cstheme="minorHAnsi"/>
          <w:bCs/>
          <w:color w:val="auto"/>
        </w:rPr>
        <w:t xml:space="preserve"> may be worth more or less than their original cost.  Our platform does not include all possible investments</w:t>
      </w:r>
      <w:r w:rsidR="004A7DED" w:rsidRPr="00CD7F6A">
        <w:rPr>
          <w:rFonts w:asciiTheme="minorHAnsi" w:eastAsia="Arial" w:hAnsiTheme="minorHAnsi" w:cstheme="minorHAnsi"/>
          <w:bCs/>
          <w:color w:val="auto"/>
        </w:rPr>
        <w:t>.</w:t>
      </w:r>
    </w:p>
    <w:p w14:paraId="49A9132D" w14:textId="76516F87" w:rsidR="004A7DED" w:rsidRPr="00CD7F6A" w:rsidRDefault="004A7DED" w:rsidP="00A91A4E">
      <w:pPr>
        <w:pStyle w:val="Default0"/>
        <w:rPr>
          <w:rFonts w:asciiTheme="minorHAnsi" w:eastAsia="Arial" w:hAnsiTheme="minorHAnsi" w:cstheme="minorHAnsi"/>
          <w:bCs/>
          <w:color w:val="auto"/>
        </w:rPr>
      </w:pPr>
    </w:p>
    <w:p w14:paraId="2D307825" w14:textId="779E64AB" w:rsidR="004A7DED" w:rsidRPr="00CD7F6A" w:rsidRDefault="004A7DED" w:rsidP="00A91A4E">
      <w:pPr>
        <w:pStyle w:val="Default0"/>
        <w:rPr>
          <w:rFonts w:asciiTheme="minorHAnsi" w:eastAsia="Arial" w:hAnsiTheme="minorHAnsi" w:cstheme="minorHAnsi"/>
          <w:bCs/>
          <w:color w:val="auto"/>
        </w:rPr>
      </w:pPr>
      <w:r w:rsidRPr="00CD7F6A">
        <w:rPr>
          <w:rFonts w:asciiTheme="minorHAnsi" w:eastAsia="Arial" w:hAnsiTheme="minorHAnsi" w:cstheme="minorHAnsi"/>
          <w:bCs/>
          <w:color w:val="auto"/>
        </w:rPr>
        <w:t xml:space="preserve">Commission rates, mutual fund share classes, cash sweep program feature </w:t>
      </w:r>
      <w:r w:rsidR="008D6FBA" w:rsidRPr="00CD7F6A">
        <w:rPr>
          <w:rFonts w:asciiTheme="minorHAnsi" w:eastAsia="Arial" w:hAnsiTheme="minorHAnsi" w:cstheme="minorHAnsi"/>
          <w:bCs/>
          <w:color w:val="auto"/>
        </w:rPr>
        <w:t xml:space="preserve">eligibility and other investments available to your AC </w:t>
      </w:r>
      <w:r w:rsidR="00CA738A" w:rsidRPr="00CD7F6A">
        <w:rPr>
          <w:rFonts w:asciiTheme="minorHAnsi" w:eastAsia="Arial" w:hAnsiTheme="minorHAnsi" w:cstheme="minorHAnsi"/>
          <w:bCs/>
          <w:color w:val="auto"/>
        </w:rPr>
        <w:t>brokerage</w:t>
      </w:r>
      <w:r w:rsidR="008D6FBA" w:rsidRPr="00CD7F6A">
        <w:rPr>
          <w:rFonts w:asciiTheme="minorHAnsi" w:eastAsia="Arial" w:hAnsiTheme="minorHAnsi" w:cstheme="minorHAnsi"/>
          <w:bCs/>
          <w:color w:val="auto"/>
        </w:rPr>
        <w:t xml:space="preserve"> account through our platform will vary in accordance with (1) your type of brokerage account relationship</w:t>
      </w:r>
      <w:r w:rsidR="006300DC" w:rsidRPr="00CD7F6A">
        <w:rPr>
          <w:rFonts w:asciiTheme="minorHAnsi" w:eastAsia="Arial" w:hAnsiTheme="minorHAnsi" w:cstheme="minorHAnsi"/>
          <w:bCs/>
          <w:color w:val="auto"/>
        </w:rPr>
        <w:t xml:space="preserve"> with AC</w:t>
      </w:r>
      <w:r w:rsidR="008D6FBA" w:rsidRPr="00CD7F6A">
        <w:rPr>
          <w:rFonts w:asciiTheme="minorHAnsi" w:eastAsia="Arial" w:hAnsiTheme="minorHAnsi" w:cstheme="minorHAnsi"/>
          <w:bCs/>
          <w:color w:val="auto"/>
        </w:rPr>
        <w:t xml:space="preserve">, </w:t>
      </w:r>
      <w:r w:rsidR="006300DC" w:rsidRPr="00CD7F6A">
        <w:rPr>
          <w:rFonts w:asciiTheme="minorHAnsi" w:eastAsia="Arial" w:hAnsiTheme="minorHAnsi" w:cstheme="minorHAnsi"/>
          <w:bCs/>
          <w:color w:val="auto"/>
        </w:rPr>
        <w:t xml:space="preserve">and </w:t>
      </w:r>
      <w:r w:rsidR="008D6FBA" w:rsidRPr="00CD7F6A">
        <w:rPr>
          <w:rFonts w:asciiTheme="minorHAnsi" w:eastAsia="Arial" w:hAnsiTheme="minorHAnsi" w:cstheme="minorHAnsi"/>
          <w:bCs/>
          <w:color w:val="auto"/>
        </w:rPr>
        <w:t>(2)</w:t>
      </w:r>
      <w:r w:rsidR="006300DC" w:rsidRPr="00CD7F6A">
        <w:rPr>
          <w:rFonts w:asciiTheme="minorHAnsi" w:eastAsia="Arial" w:hAnsiTheme="minorHAnsi" w:cstheme="minorHAnsi"/>
          <w:bCs/>
          <w:color w:val="auto"/>
        </w:rPr>
        <w:t xml:space="preserve"> your account type (IRA or taxable) and (3)</w:t>
      </w:r>
      <w:r w:rsidR="00CA738A" w:rsidRPr="00CD7F6A">
        <w:rPr>
          <w:rFonts w:asciiTheme="minorHAnsi" w:eastAsia="Arial" w:hAnsiTheme="minorHAnsi" w:cstheme="minorHAnsi"/>
          <w:bCs/>
          <w:color w:val="auto"/>
        </w:rPr>
        <w:t xml:space="preserve"> your investment advisory relationship (if any) with our affiliated investment advis</w:t>
      </w:r>
      <w:r w:rsidR="003C1C7C">
        <w:rPr>
          <w:rFonts w:asciiTheme="minorHAnsi" w:eastAsia="Arial" w:hAnsiTheme="minorHAnsi" w:cstheme="minorHAnsi"/>
          <w:bCs/>
          <w:color w:val="auto"/>
        </w:rPr>
        <w:t>e</w:t>
      </w:r>
      <w:r w:rsidR="00CA738A" w:rsidRPr="00CD7F6A">
        <w:rPr>
          <w:rFonts w:asciiTheme="minorHAnsi" w:eastAsia="Arial" w:hAnsiTheme="minorHAnsi" w:cstheme="minorHAnsi"/>
          <w:bCs/>
          <w:color w:val="auto"/>
        </w:rPr>
        <w:t xml:space="preserve">r, </w:t>
      </w:r>
      <w:proofErr w:type="spellStart"/>
      <w:r w:rsidR="00CA738A" w:rsidRPr="00CD7F6A">
        <w:rPr>
          <w:rFonts w:asciiTheme="minorHAnsi" w:eastAsia="Arial" w:hAnsiTheme="minorHAnsi" w:cstheme="minorHAnsi"/>
          <w:bCs/>
          <w:color w:val="auto"/>
        </w:rPr>
        <w:t>Ar</w:t>
      </w:r>
      <w:r w:rsidR="00B51816">
        <w:rPr>
          <w:rFonts w:asciiTheme="minorHAnsi" w:eastAsia="Arial" w:hAnsiTheme="minorHAnsi" w:cstheme="minorHAnsi"/>
          <w:bCs/>
          <w:color w:val="auto"/>
        </w:rPr>
        <w:t>ka</w:t>
      </w:r>
      <w:r w:rsidR="00CA738A" w:rsidRPr="00CD7F6A">
        <w:rPr>
          <w:rFonts w:asciiTheme="minorHAnsi" w:eastAsia="Arial" w:hAnsiTheme="minorHAnsi" w:cstheme="minorHAnsi"/>
          <w:bCs/>
          <w:color w:val="auto"/>
        </w:rPr>
        <w:t>dios</w:t>
      </w:r>
      <w:proofErr w:type="spellEnd"/>
      <w:r w:rsidR="00CA738A" w:rsidRPr="00CD7F6A">
        <w:rPr>
          <w:rFonts w:asciiTheme="minorHAnsi" w:eastAsia="Arial" w:hAnsiTheme="minorHAnsi" w:cstheme="minorHAnsi"/>
          <w:bCs/>
          <w:color w:val="auto"/>
        </w:rPr>
        <w:t xml:space="preserve"> Wealth Advisors</w:t>
      </w:r>
      <w:r w:rsidR="00B679C1">
        <w:rPr>
          <w:rFonts w:asciiTheme="minorHAnsi" w:eastAsia="Arial" w:hAnsiTheme="minorHAnsi" w:cstheme="minorHAnsi"/>
          <w:bCs/>
          <w:color w:val="auto"/>
        </w:rPr>
        <w:t>.</w:t>
      </w:r>
    </w:p>
    <w:p w14:paraId="712839CA" w14:textId="5C2294F4" w:rsidR="000636FE" w:rsidRDefault="000636FE" w:rsidP="00A91A4E">
      <w:pPr>
        <w:pStyle w:val="Default0"/>
        <w:rPr>
          <w:rFonts w:asciiTheme="minorHAnsi" w:eastAsia="Arial" w:hAnsiTheme="minorHAnsi" w:cstheme="minorHAnsi"/>
          <w:bCs/>
          <w:color w:val="auto"/>
          <w:sz w:val="22"/>
          <w:szCs w:val="22"/>
        </w:rPr>
      </w:pPr>
    </w:p>
    <w:p w14:paraId="35B93FDD" w14:textId="3FDA9211" w:rsidR="00DA3EAE" w:rsidRPr="00433DD4" w:rsidRDefault="00DA3EAE" w:rsidP="00DA3EAE">
      <w:pPr>
        <w:pStyle w:val="Default0"/>
        <w:numPr>
          <w:ilvl w:val="0"/>
          <w:numId w:val="32"/>
        </w:numPr>
        <w:rPr>
          <w:rFonts w:asciiTheme="minorHAnsi" w:eastAsia="Arial" w:hAnsiTheme="minorHAnsi" w:cstheme="minorHAnsi"/>
          <w:b/>
          <w:color w:val="auto"/>
          <w:sz w:val="28"/>
          <w:szCs w:val="28"/>
        </w:rPr>
      </w:pPr>
      <w:r w:rsidRPr="00433DD4">
        <w:rPr>
          <w:rFonts w:asciiTheme="minorHAnsi" w:eastAsia="Arial" w:hAnsiTheme="minorHAnsi" w:cstheme="minorHAnsi"/>
          <w:b/>
          <w:color w:val="auto"/>
          <w:sz w:val="28"/>
          <w:szCs w:val="28"/>
        </w:rPr>
        <w:t>Full-Service Brokerage Relationship</w:t>
      </w:r>
    </w:p>
    <w:p w14:paraId="3F227D34" w14:textId="747D04BC" w:rsidR="00522F96" w:rsidRPr="005E7684" w:rsidRDefault="00522F96" w:rsidP="00E26705">
      <w:pPr>
        <w:pStyle w:val="Default0"/>
        <w:rPr>
          <w:rFonts w:asciiTheme="minorHAnsi" w:eastAsia="Arial" w:hAnsiTheme="minorHAnsi" w:cstheme="minorHAnsi"/>
          <w:bCs/>
          <w:color w:val="auto"/>
        </w:rPr>
      </w:pPr>
      <w:r w:rsidRPr="005E7684">
        <w:rPr>
          <w:rFonts w:asciiTheme="minorHAnsi" w:eastAsia="Arial" w:hAnsiTheme="minorHAnsi" w:cstheme="minorHAnsi"/>
          <w:bCs/>
          <w:color w:val="auto"/>
        </w:rPr>
        <w:t xml:space="preserve">In a full-service brokerage relationship, in addition to acting as your agent to complete securities and other investment transactions at your direction and on your behalf, AC and/or your AC account representative will provide you with the investment recommendations and other services which are tailored to your specific investment goals and circumstances.  </w:t>
      </w:r>
    </w:p>
    <w:p w14:paraId="4036C921" w14:textId="10CEBED9" w:rsidR="00FB4C22" w:rsidRPr="005E7684" w:rsidRDefault="00FB4C22" w:rsidP="00522F96">
      <w:pPr>
        <w:pStyle w:val="Default0"/>
        <w:ind w:left="120"/>
        <w:rPr>
          <w:rFonts w:asciiTheme="minorHAnsi" w:eastAsia="Arial" w:hAnsiTheme="minorHAnsi" w:cstheme="minorHAnsi"/>
          <w:bCs/>
          <w:color w:val="auto"/>
        </w:rPr>
      </w:pPr>
    </w:p>
    <w:p w14:paraId="667C45B9" w14:textId="3D830237" w:rsidR="00FB4C22" w:rsidRPr="005E7684" w:rsidRDefault="00FB4C22" w:rsidP="00E26705">
      <w:pPr>
        <w:pStyle w:val="Default0"/>
        <w:rPr>
          <w:rFonts w:asciiTheme="minorHAnsi" w:eastAsia="Arial" w:hAnsiTheme="minorHAnsi" w:cstheme="minorHAnsi"/>
          <w:bCs/>
          <w:color w:val="auto"/>
        </w:rPr>
      </w:pPr>
      <w:r w:rsidRPr="005E7684">
        <w:rPr>
          <w:rFonts w:asciiTheme="minorHAnsi" w:eastAsia="Arial" w:hAnsiTheme="minorHAnsi" w:cstheme="minorHAnsi"/>
          <w:bCs/>
          <w:color w:val="auto"/>
        </w:rPr>
        <w:t>Full-service brokerage accounts are eligible to invest in listed securities and any mutual fund on our platform</w:t>
      </w:r>
      <w:r w:rsidR="002974D9" w:rsidRPr="005E7684">
        <w:rPr>
          <w:rFonts w:asciiTheme="minorHAnsi" w:eastAsia="Arial" w:hAnsiTheme="minorHAnsi" w:cstheme="minorHAnsi"/>
          <w:bCs/>
          <w:color w:val="auto"/>
        </w:rPr>
        <w:t xml:space="preserve"> which AC makes available to such accounts.  Availability of investment will vary over time.  AC reserves the right, in its sole discretion, to determine at any time and from time to time and with or without </w:t>
      </w:r>
      <w:r w:rsidR="00433DD4" w:rsidRPr="005E7684">
        <w:rPr>
          <w:rFonts w:asciiTheme="minorHAnsi" w:eastAsia="Arial" w:hAnsiTheme="minorHAnsi" w:cstheme="minorHAnsi"/>
          <w:bCs/>
          <w:color w:val="auto"/>
        </w:rPr>
        <w:t>advance</w:t>
      </w:r>
      <w:r w:rsidR="002974D9" w:rsidRPr="005E7684">
        <w:rPr>
          <w:rFonts w:asciiTheme="minorHAnsi" w:eastAsia="Arial" w:hAnsiTheme="minorHAnsi" w:cstheme="minorHAnsi"/>
          <w:bCs/>
          <w:color w:val="auto"/>
        </w:rPr>
        <w:t xml:space="preserve"> notice, which securities, mutual fund shares, mutual fund share classes and other investments it will make available to its client’s full-service brokerage accounts. </w:t>
      </w:r>
    </w:p>
    <w:p w14:paraId="52CD404F" w14:textId="77777777" w:rsidR="00BD41FD" w:rsidRPr="00E935F3" w:rsidRDefault="00BD41FD" w:rsidP="00720363">
      <w:pPr>
        <w:pStyle w:val="Heading2"/>
        <w:ind w:left="0"/>
        <w:rPr>
          <w:rFonts w:asciiTheme="minorHAnsi" w:hAnsiTheme="minorHAnsi" w:cstheme="minorHAnsi"/>
        </w:rPr>
      </w:pPr>
    </w:p>
    <w:p w14:paraId="2728F376" w14:textId="77777777" w:rsidR="00BD41FD" w:rsidRPr="00720363" w:rsidRDefault="00BD41FD" w:rsidP="00720363">
      <w:pPr>
        <w:pStyle w:val="Heading2"/>
        <w:ind w:left="0"/>
        <w:rPr>
          <w:rFonts w:asciiTheme="minorHAnsi" w:hAnsiTheme="minorHAnsi" w:cstheme="minorHAnsi"/>
          <w:sz w:val="24"/>
          <w:szCs w:val="24"/>
        </w:rPr>
      </w:pPr>
      <w:bookmarkStart w:id="1" w:name="_Toc32246219"/>
      <w:r w:rsidRPr="00720363">
        <w:rPr>
          <w:rFonts w:asciiTheme="minorHAnsi" w:hAnsiTheme="minorHAnsi" w:cstheme="minorHAnsi"/>
          <w:sz w:val="24"/>
          <w:szCs w:val="24"/>
        </w:rPr>
        <w:t>Cash Brokerage and Margin Brokerage Accounts</w:t>
      </w:r>
      <w:bookmarkEnd w:id="1"/>
    </w:p>
    <w:p w14:paraId="6910CAC2" w14:textId="1389F470" w:rsidR="00BD41FD" w:rsidRPr="00720363" w:rsidRDefault="00BD41FD" w:rsidP="00720363">
      <w:pPr>
        <w:pStyle w:val="Default0"/>
        <w:rPr>
          <w:rFonts w:asciiTheme="minorHAnsi" w:eastAsia="Arial" w:hAnsiTheme="minorHAnsi" w:cstheme="minorHAnsi"/>
          <w:bCs/>
          <w:color w:val="auto"/>
        </w:rPr>
      </w:pPr>
      <w:r w:rsidRPr="00720363">
        <w:rPr>
          <w:rFonts w:asciiTheme="minorHAnsi" w:eastAsia="Arial" w:hAnsiTheme="minorHAnsi" w:cstheme="minorHAnsi"/>
          <w:bCs/>
          <w:color w:val="auto"/>
        </w:rPr>
        <w:t xml:space="preserve">We provide brokerage services through either a cash brokerage account or margin brokerage account, based on your eligibility and selection. In a cash brokerage account, you must pay for your purchases in full at the time of purchase. In a margin brokerage account, you must eventually pay for your purchases in full, but you may borrow part of the purchase price from our clearing firm, </w:t>
      </w:r>
      <w:r w:rsidR="00975C3E" w:rsidRPr="00720363">
        <w:rPr>
          <w:rFonts w:asciiTheme="minorHAnsi" w:eastAsia="Arial" w:hAnsiTheme="minorHAnsi" w:cstheme="minorHAnsi"/>
          <w:bCs/>
          <w:color w:val="auto"/>
        </w:rPr>
        <w:t>National Financial Services (NFS)</w:t>
      </w:r>
      <w:r w:rsidRPr="00720363">
        <w:rPr>
          <w:rFonts w:asciiTheme="minorHAnsi" w:eastAsia="Arial" w:hAnsiTheme="minorHAnsi" w:cstheme="minorHAnsi"/>
          <w:bCs/>
          <w:color w:val="auto"/>
        </w:rPr>
        <w:t xml:space="preserve">. This is generally referred to as a “margin loan.” The portion of the purchase price that is loaned </w:t>
      </w:r>
      <w:r w:rsidR="004C5EC1" w:rsidRPr="00720363">
        <w:rPr>
          <w:rFonts w:asciiTheme="minorHAnsi" w:eastAsia="Arial" w:hAnsiTheme="minorHAnsi" w:cstheme="minorHAnsi"/>
          <w:bCs/>
          <w:color w:val="auto"/>
        </w:rPr>
        <w:t xml:space="preserve">to </w:t>
      </w:r>
      <w:r w:rsidRPr="00720363">
        <w:rPr>
          <w:rFonts w:asciiTheme="minorHAnsi" w:eastAsia="Arial" w:hAnsiTheme="minorHAnsi" w:cstheme="minorHAnsi"/>
          <w:bCs/>
          <w:color w:val="auto"/>
        </w:rPr>
        <w:t xml:space="preserve">you is secured by securities in your account, also referred to as “collateral.” You will incur interest costs </w:t>
      </w:r>
      <w:proofErr w:type="gramStart"/>
      <w:r w:rsidRPr="00720363">
        <w:rPr>
          <w:rFonts w:asciiTheme="minorHAnsi" w:eastAsia="Arial" w:hAnsiTheme="minorHAnsi" w:cstheme="minorHAnsi"/>
          <w:bCs/>
          <w:color w:val="auto"/>
        </w:rPr>
        <w:t>as a result of</w:t>
      </w:r>
      <w:proofErr w:type="gramEnd"/>
      <w:r w:rsidRPr="00720363">
        <w:rPr>
          <w:rFonts w:asciiTheme="minorHAnsi" w:eastAsia="Arial" w:hAnsiTheme="minorHAnsi" w:cstheme="minorHAnsi"/>
          <w:bCs/>
          <w:color w:val="auto"/>
        </w:rPr>
        <w:t xml:space="preserve"> your margin activity. While many securities are eligible to be used as collateral for a margin loan, some assets are not available for margin collateral purposes. </w:t>
      </w:r>
    </w:p>
    <w:p w14:paraId="443F6CF6" w14:textId="77777777" w:rsidR="00BD41FD" w:rsidRPr="00720363" w:rsidRDefault="00BD41FD" w:rsidP="00BD41FD">
      <w:pPr>
        <w:pStyle w:val="Default0"/>
        <w:ind w:left="120"/>
        <w:rPr>
          <w:rFonts w:asciiTheme="minorHAnsi" w:eastAsia="Arial" w:hAnsiTheme="minorHAnsi" w:cstheme="minorHAnsi"/>
          <w:bCs/>
          <w:color w:val="auto"/>
        </w:rPr>
      </w:pPr>
    </w:p>
    <w:p w14:paraId="2BEA59BE" w14:textId="6938CF18" w:rsidR="00C12A3A" w:rsidRPr="00720363" w:rsidRDefault="00BD41FD" w:rsidP="00720363">
      <w:pPr>
        <w:pStyle w:val="Default0"/>
        <w:rPr>
          <w:rFonts w:asciiTheme="minorHAnsi" w:eastAsia="Arial" w:hAnsiTheme="minorHAnsi" w:cstheme="minorHAnsi"/>
          <w:bCs/>
          <w:color w:val="auto"/>
        </w:rPr>
      </w:pPr>
      <w:r w:rsidRPr="00720363">
        <w:rPr>
          <w:rFonts w:asciiTheme="minorHAnsi" w:eastAsia="Arial" w:hAnsiTheme="minorHAnsi" w:cstheme="minorHAnsi"/>
          <w:bCs/>
          <w:color w:val="auto"/>
        </w:rPr>
        <w:t xml:space="preserve">Given that a margin-enabled brokerage account has specific eligibility requirements, unique costs, and governing regulatory requirements, our default brokerage option is our cash brokerage account. You must execute a separate margin agreement before engaging in margin brokerage activity. Included with your margin agreement is a copy of the </w:t>
      </w:r>
      <w:r w:rsidRPr="00720363">
        <w:rPr>
          <w:rFonts w:asciiTheme="minorHAnsi" w:eastAsia="Arial" w:hAnsiTheme="minorHAnsi" w:cstheme="minorHAnsi"/>
          <w:bCs/>
        </w:rPr>
        <w:t>Margin Disclosure Statement</w:t>
      </w:r>
      <w:r w:rsidRPr="00720363">
        <w:rPr>
          <w:rFonts w:asciiTheme="minorHAnsi" w:eastAsia="Arial" w:hAnsiTheme="minorHAnsi" w:cstheme="minorHAnsi"/>
          <w:bCs/>
          <w:color w:val="auto"/>
        </w:rPr>
        <w:t xml:space="preserve">. This statement contains important information you should understand and consider before establishing a margin brokerage relationship with us. For more information on our margin brokerage services, contact </w:t>
      </w:r>
      <w:r w:rsidR="0083292B" w:rsidRPr="00720363">
        <w:rPr>
          <w:rFonts w:asciiTheme="minorHAnsi" w:eastAsia="Arial" w:hAnsiTheme="minorHAnsi" w:cstheme="minorHAnsi"/>
          <w:bCs/>
          <w:color w:val="auto"/>
        </w:rPr>
        <w:t>your financial professional.</w:t>
      </w:r>
    </w:p>
    <w:p w14:paraId="00E9D6BB" w14:textId="77777777" w:rsidR="00BD41FD" w:rsidRPr="00D65749" w:rsidRDefault="00BD41FD" w:rsidP="00BD41FD">
      <w:pPr>
        <w:pStyle w:val="Default0"/>
        <w:ind w:left="90"/>
        <w:rPr>
          <w:rFonts w:asciiTheme="minorHAnsi" w:eastAsia="Arial" w:hAnsiTheme="minorHAnsi" w:cstheme="minorHAnsi"/>
          <w:bCs/>
          <w:color w:val="auto"/>
          <w:sz w:val="20"/>
          <w:szCs w:val="20"/>
        </w:rPr>
      </w:pPr>
    </w:p>
    <w:p w14:paraId="25DF7D68" w14:textId="77777777" w:rsidR="00BD41FD" w:rsidRPr="00083832" w:rsidRDefault="00BD41FD" w:rsidP="00083832">
      <w:pPr>
        <w:pStyle w:val="Heading2"/>
        <w:ind w:left="0"/>
        <w:rPr>
          <w:rFonts w:asciiTheme="minorHAnsi" w:hAnsiTheme="minorHAnsi" w:cstheme="minorHAnsi"/>
          <w:sz w:val="24"/>
          <w:szCs w:val="24"/>
        </w:rPr>
      </w:pPr>
      <w:bookmarkStart w:id="2" w:name="_Toc32246221"/>
      <w:r w:rsidRPr="00083832">
        <w:rPr>
          <w:rFonts w:asciiTheme="minorHAnsi" w:hAnsiTheme="minorHAnsi" w:cstheme="minorHAnsi"/>
          <w:sz w:val="24"/>
          <w:szCs w:val="24"/>
        </w:rPr>
        <w:t>Incidental Brokerage Services, Recommendations and Account Monitoring</w:t>
      </w:r>
      <w:bookmarkEnd w:id="2"/>
      <w:r w:rsidRPr="00083832">
        <w:rPr>
          <w:rFonts w:asciiTheme="minorHAnsi" w:hAnsiTheme="minorHAnsi" w:cstheme="minorHAnsi"/>
          <w:sz w:val="24"/>
          <w:szCs w:val="24"/>
        </w:rPr>
        <w:t xml:space="preserve"> </w:t>
      </w:r>
    </w:p>
    <w:p w14:paraId="09DABE7A" w14:textId="5738D1CA" w:rsidR="00BD41FD" w:rsidRPr="00083832" w:rsidRDefault="00BD41FD" w:rsidP="00083832">
      <w:pPr>
        <w:pStyle w:val="Default0"/>
        <w:rPr>
          <w:rFonts w:asciiTheme="minorHAnsi" w:eastAsia="Arial" w:hAnsiTheme="minorHAnsi" w:cstheme="minorHAnsi"/>
          <w:bCs/>
          <w:color w:val="auto"/>
        </w:rPr>
      </w:pPr>
      <w:r w:rsidRPr="00083832">
        <w:rPr>
          <w:rFonts w:asciiTheme="minorHAnsi" w:eastAsia="Arial" w:hAnsiTheme="minorHAnsi" w:cstheme="minorHAnsi"/>
          <w:bCs/>
          <w:color w:val="auto"/>
        </w:rPr>
        <w:t xml:space="preserve">Within your brokerage account, we may also provide other incidental services recommendations to buy, sell, or hold assets. When we make a securities recommendation, investment strategy recommendation or recommendation to rollover assets from your Qualified Retirement Plan (QRP) to an Individual Retirement Account (IRA), the recommendation is made in our capacity as a broker-dealer unless otherwise stated at the time of the recommendation. Any such statement will be made orally to you. Moreover, when we act in a brokerage capacity, we do not agree to </w:t>
      </w:r>
      <w:proofErr w:type="gramStart"/>
      <w:r w:rsidRPr="00083832">
        <w:rPr>
          <w:rFonts w:asciiTheme="minorHAnsi" w:eastAsia="Arial" w:hAnsiTheme="minorHAnsi" w:cstheme="minorHAnsi"/>
          <w:bCs/>
          <w:color w:val="auto"/>
        </w:rPr>
        <w:t>enter into</w:t>
      </w:r>
      <w:proofErr w:type="gramEnd"/>
      <w:r w:rsidRPr="00083832">
        <w:rPr>
          <w:rFonts w:asciiTheme="minorHAnsi" w:eastAsia="Arial" w:hAnsiTheme="minorHAnsi" w:cstheme="minorHAnsi"/>
          <w:bCs/>
          <w:color w:val="auto"/>
        </w:rPr>
        <w:t xml:space="preserve"> a fiduciary relationship with you.</w:t>
      </w:r>
    </w:p>
    <w:p w14:paraId="27C9F612" w14:textId="77777777" w:rsidR="00BD41FD" w:rsidRPr="00083832" w:rsidRDefault="00BD41FD" w:rsidP="00BD41FD">
      <w:pPr>
        <w:pStyle w:val="Default0"/>
        <w:tabs>
          <w:tab w:val="left" w:pos="4526"/>
        </w:tabs>
        <w:ind w:left="120"/>
        <w:rPr>
          <w:rFonts w:asciiTheme="minorHAnsi" w:eastAsia="Arial" w:hAnsiTheme="minorHAnsi" w:cstheme="minorHAnsi"/>
          <w:bCs/>
          <w:color w:val="auto"/>
        </w:rPr>
      </w:pPr>
      <w:r w:rsidRPr="00083832">
        <w:rPr>
          <w:rFonts w:asciiTheme="minorHAnsi" w:eastAsia="Arial" w:hAnsiTheme="minorHAnsi" w:cstheme="minorHAnsi"/>
          <w:bCs/>
          <w:color w:val="auto"/>
        </w:rPr>
        <w:tab/>
      </w:r>
    </w:p>
    <w:p w14:paraId="09F1E506" w14:textId="1F794254" w:rsidR="00BD41FD" w:rsidRPr="00083832" w:rsidRDefault="00BD41FD" w:rsidP="00904D42">
      <w:pPr>
        <w:pStyle w:val="Default0"/>
        <w:rPr>
          <w:rFonts w:asciiTheme="minorHAnsi" w:eastAsia="Arial" w:hAnsiTheme="minorHAnsi" w:cstheme="minorHAnsi"/>
          <w:bCs/>
          <w:color w:val="auto"/>
        </w:rPr>
      </w:pPr>
      <w:r w:rsidRPr="00083832">
        <w:rPr>
          <w:rFonts w:asciiTheme="minorHAnsi" w:eastAsia="Arial" w:hAnsiTheme="minorHAnsi" w:cstheme="minorHAnsi"/>
          <w:bCs/>
          <w:color w:val="auto"/>
        </w:rPr>
        <w:t xml:space="preserve">It is important for you to understand that when our </w:t>
      </w:r>
      <w:r w:rsidR="00083832">
        <w:rPr>
          <w:rFonts w:asciiTheme="minorHAnsi" w:eastAsia="Arial" w:hAnsiTheme="minorHAnsi" w:cstheme="minorHAnsi"/>
          <w:bCs/>
          <w:color w:val="auto"/>
        </w:rPr>
        <w:t>account representative</w:t>
      </w:r>
      <w:r w:rsidR="00B958FA" w:rsidRPr="00083832">
        <w:rPr>
          <w:rFonts w:asciiTheme="minorHAnsi" w:eastAsia="Arial" w:hAnsiTheme="minorHAnsi" w:cstheme="minorHAnsi"/>
          <w:bCs/>
          <w:color w:val="auto"/>
        </w:rPr>
        <w:t xml:space="preserve"> </w:t>
      </w:r>
      <w:r w:rsidRPr="00083832">
        <w:rPr>
          <w:rFonts w:asciiTheme="minorHAnsi" w:eastAsia="Arial" w:hAnsiTheme="minorHAnsi" w:cstheme="minorHAnsi"/>
          <w:bCs/>
          <w:color w:val="auto"/>
        </w:rPr>
        <w:t>make</w:t>
      </w:r>
      <w:r w:rsidR="00B958FA" w:rsidRPr="00083832">
        <w:rPr>
          <w:rFonts w:asciiTheme="minorHAnsi" w:eastAsia="Arial" w:hAnsiTheme="minorHAnsi" w:cstheme="minorHAnsi"/>
          <w:bCs/>
          <w:color w:val="auto"/>
        </w:rPr>
        <w:t>s</w:t>
      </w:r>
      <w:r w:rsidRPr="00083832">
        <w:rPr>
          <w:rFonts w:asciiTheme="minorHAnsi" w:eastAsia="Arial" w:hAnsiTheme="minorHAnsi" w:cstheme="minorHAnsi"/>
          <w:bCs/>
          <w:color w:val="auto"/>
        </w:rPr>
        <w:t xml:space="preserve"> a brokerage recommendation to you, we are obligated to ensure the recommendation is in your best interest, considering reasonably available alternatives, and based on your stated investment objective, risk tolerance, liquidity needs, time horizon, financial needs, tax status, and other financial information you provide us. You may accept or reject any recommendation. It is also your responsibility to monitor the investments in your brokerage account, and we encourage you to do so regularly. </w:t>
      </w:r>
      <w:r w:rsidRPr="00083832">
        <w:rPr>
          <w:rFonts w:asciiTheme="minorHAnsi" w:eastAsia="Arial" w:hAnsiTheme="minorHAnsi" w:cstheme="minorHAnsi"/>
          <w:color w:val="auto"/>
        </w:rPr>
        <w:t xml:space="preserve">We do not commit to </w:t>
      </w:r>
      <w:proofErr w:type="gramStart"/>
      <w:r w:rsidRPr="00083832">
        <w:rPr>
          <w:rFonts w:asciiTheme="minorHAnsi" w:eastAsia="Arial" w:hAnsiTheme="minorHAnsi" w:cstheme="minorHAnsi"/>
          <w:color w:val="auto"/>
        </w:rPr>
        <w:t>provide</w:t>
      </w:r>
      <w:proofErr w:type="gramEnd"/>
      <w:r w:rsidRPr="00083832">
        <w:rPr>
          <w:rFonts w:asciiTheme="minorHAnsi" w:eastAsia="Arial" w:hAnsiTheme="minorHAnsi" w:cstheme="minorHAnsi"/>
          <w:color w:val="auto"/>
        </w:rPr>
        <w:t xml:space="preserve"> on-going monitoring of your brokerage account. </w:t>
      </w:r>
      <w:r w:rsidR="004E653E">
        <w:rPr>
          <w:rFonts w:asciiTheme="minorHAnsi" w:eastAsia="Arial" w:hAnsiTheme="minorHAnsi" w:cstheme="minorHAnsi"/>
          <w:color w:val="auto"/>
        </w:rPr>
        <w:t xml:space="preserve"> We </w:t>
      </w:r>
      <w:r w:rsidR="00F67B96">
        <w:rPr>
          <w:rFonts w:asciiTheme="minorHAnsi" w:eastAsia="Arial" w:hAnsiTheme="minorHAnsi" w:cstheme="minorHAnsi"/>
          <w:color w:val="auto"/>
        </w:rPr>
        <w:t>occasionally</w:t>
      </w:r>
      <w:r w:rsidR="004E653E">
        <w:rPr>
          <w:rFonts w:asciiTheme="minorHAnsi" w:eastAsia="Arial" w:hAnsiTheme="minorHAnsi" w:cstheme="minorHAnsi"/>
          <w:color w:val="auto"/>
        </w:rPr>
        <w:t xml:space="preserve">, and without any formal </w:t>
      </w:r>
      <w:r w:rsidR="00F67B96">
        <w:rPr>
          <w:rFonts w:asciiTheme="minorHAnsi" w:eastAsia="Arial" w:hAnsiTheme="minorHAnsi" w:cstheme="minorHAnsi"/>
          <w:color w:val="auto"/>
        </w:rPr>
        <w:t xml:space="preserve">agreement or obligation, review your brokerage account to determine whether to recommend investments. </w:t>
      </w:r>
      <w:r w:rsidRPr="00083832">
        <w:rPr>
          <w:rFonts w:asciiTheme="minorHAnsi" w:eastAsia="Arial" w:hAnsiTheme="minorHAnsi" w:cstheme="minorHAnsi"/>
          <w:color w:val="auto"/>
        </w:rPr>
        <w:t xml:space="preserve">If you prefer on-going monitoring of your account or investments, you should speak with </w:t>
      </w:r>
      <w:r w:rsidR="00EE3978">
        <w:rPr>
          <w:rFonts w:asciiTheme="minorHAnsi" w:eastAsia="Arial" w:hAnsiTheme="minorHAnsi" w:cstheme="minorHAnsi"/>
          <w:color w:val="auto"/>
        </w:rPr>
        <w:t>your account representative</w:t>
      </w:r>
      <w:r w:rsidRPr="00083832">
        <w:rPr>
          <w:rFonts w:asciiTheme="minorHAnsi" w:eastAsia="Arial" w:hAnsiTheme="minorHAnsi" w:cstheme="minorHAnsi"/>
          <w:color w:val="auto"/>
        </w:rPr>
        <w:t xml:space="preserve"> about whether an </w:t>
      </w:r>
      <w:r w:rsidR="00C77A61" w:rsidRPr="00083832">
        <w:rPr>
          <w:rFonts w:asciiTheme="minorHAnsi" w:eastAsia="Arial" w:hAnsiTheme="minorHAnsi" w:cstheme="minorHAnsi"/>
          <w:color w:val="auto"/>
        </w:rPr>
        <w:t xml:space="preserve">investment </w:t>
      </w:r>
      <w:r w:rsidRPr="00083832">
        <w:rPr>
          <w:rFonts w:asciiTheme="minorHAnsi" w:eastAsia="Arial" w:hAnsiTheme="minorHAnsi" w:cstheme="minorHAnsi"/>
          <w:color w:val="auto"/>
        </w:rPr>
        <w:t>advisory relationship is more appropriate for you.</w:t>
      </w:r>
    </w:p>
    <w:p w14:paraId="1FEBD629" w14:textId="77777777" w:rsidR="00BD41FD" w:rsidRPr="00083832" w:rsidRDefault="00BD41FD" w:rsidP="00BD41FD">
      <w:pPr>
        <w:pStyle w:val="Default0"/>
        <w:ind w:left="120"/>
        <w:rPr>
          <w:rFonts w:asciiTheme="minorHAnsi" w:eastAsia="Arial" w:hAnsiTheme="minorHAnsi" w:cstheme="minorHAnsi"/>
          <w:bCs/>
          <w:color w:val="auto"/>
        </w:rPr>
      </w:pPr>
    </w:p>
    <w:p w14:paraId="08ADCFBF" w14:textId="6E14A553" w:rsidR="006A6685" w:rsidRDefault="00BD41FD" w:rsidP="00904D42">
      <w:pPr>
        <w:pStyle w:val="Default0"/>
        <w:rPr>
          <w:rFonts w:asciiTheme="minorHAnsi" w:eastAsia="Arial" w:hAnsiTheme="minorHAnsi" w:cstheme="minorHAnsi"/>
          <w:color w:val="auto"/>
        </w:rPr>
      </w:pPr>
      <w:r w:rsidRPr="00083832">
        <w:rPr>
          <w:rFonts w:asciiTheme="minorHAnsi" w:eastAsia="Arial" w:hAnsiTheme="minorHAnsi" w:cstheme="minorHAnsi"/>
          <w:bCs/>
          <w:color w:val="auto"/>
        </w:rPr>
        <w:t xml:space="preserve">Please also consider that from time to time we may provide you with additional information and resources to assist you with managing your brokerage account. </w:t>
      </w:r>
      <w:r w:rsidRPr="00083832">
        <w:rPr>
          <w:rFonts w:asciiTheme="minorHAnsi" w:eastAsia="Arial" w:hAnsiTheme="minorHAnsi" w:cstheme="minorHAnsi"/>
          <w:color w:val="auto"/>
        </w:rPr>
        <w:t xml:space="preserve">This may include but is not limited to educational resources, sales and marketing materials, performance reports, asset allocation guidance, and/or periodic brokerage account reviews. When we offer these services and information, we do so as a courtesy to you. These activities are not designed to monitor specific investment holdings in your brokerage account, they do not contain specific investment recommendations about investment holdings, and you should not consider them a recommendation to trade or hold any </w:t>
      </w:r>
      <w:proofErr w:type="gramStart"/>
      <w:r w:rsidRPr="00083832">
        <w:rPr>
          <w:rFonts w:asciiTheme="minorHAnsi" w:eastAsia="Arial" w:hAnsiTheme="minorHAnsi" w:cstheme="minorHAnsi"/>
          <w:color w:val="auto"/>
        </w:rPr>
        <w:t>particular securities</w:t>
      </w:r>
      <w:proofErr w:type="gramEnd"/>
      <w:r w:rsidRPr="00083832">
        <w:rPr>
          <w:rFonts w:asciiTheme="minorHAnsi" w:eastAsia="Arial" w:hAnsiTheme="minorHAnsi" w:cstheme="minorHAnsi"/>
          <w:color w:val="auto"/>
        </w:rPr>
        <w:t xml:space="preserve"> in your brokerage account. Upon your request, we will review such information and reports with you and may provide you with investment recommendations, but we are not under a specific obligation to do so. </w:t>
      </w:r>
    </w:p>
    <w:p w14:paraId="29175944" w14:textId="7FC83FC5" w:rsidR="00480DF8" w:rsidRDefault="00480DF8" w:rsidP="00BD41FD">
      <w:pPr>
        <w:pStyle w:val="Default0"/>
        <w:ind w:left="120"/>
        <w:rPr>
          <w:rFonts w:asciiTheme="minorHAnsi" w:eastAsia="Arial" w:hAnsiTheme="minorHAnsi" w:cstheme="minorHAnsi"/>
          <w:color w:val="auto"/>
        </w:rPr>
      </w:pPr>
    </w:p>
    <w:p w14:paraId="118DB79D" w14:textId="64E22119" w:rsidR="00480DF8" w:rsidRPr="00480DF8" w:rsidRDefault="00480DF8" w:rsidP="00904D42">
      <w:pPr>
        <w:pStyle w:val="Default0"/>
        <w:rPr>
          <w:rFonts w:asciiTheme="minorHAnsi" w:hAnsiTheme="minorHAnsi" w:cstheme="minorHAnsi"/>
          <w:b/>
          <w:bCs/>
        </w:rPr>
      </w:pPr>
      <w:bookmarkStart w:id="3" w:name="_Toc32246230"/>
      <w:r w:rsidRPr="00480DF8">
        <w:rPr>
          <w:rFonts w:asciiTheme="minorHAnsi" w:hAnsiTheme="minorHAnsi" w:cstheme="minorHAnsi"/>
          <w:b/>
          <w:bCs/>
        </w:rPr>
        <w:t>Account Minimums and Activity Requirements</w:t>
      </w:r>
      <w:bookmarkEnd w:id="3"/>
    </w:p>
    <w:p w14:paraId="40436001" w14:textId="593627D5" w:rsidR="00480DF8" w:rsidRDefault="00480DF8" w:rsidP="00904D42">
      <w:pPr>
        <w:pStyle w:val="Default0"/>
        <w:rPr>
          <w:rFonts w:asciiTheme="minorHAnsi" w:eastAsia="Arial" w:hAnsiTheme="minorHAnsi" w:cstheme="minorHAnsi"/>
          <w:bCs/>
          <w:color w:val="auto"/>
        </w:rPr>
      </w:pPr>
      <w:r w:rsidRPr="00480DF8">
        <w:rPr>
          <w:rFonts w:asciiTheme="minorHAnsi" w:eastAsia="Arial" w:hAnsiTheme="minorHAnsi" w:cstheme="minorHAnsi"/>
          <w:bCs/>
          <w:color w:val="auto"/>
        </w:rPr>
        <w:t xml:space="preserve">There is no minimum initial account balance required to open a brokerage account with us. However, if you either fail to fund your account or do not return account opening documents as required, your account will be closed. In addition, some types of brokerage accounts have minimum account activity requirements and/or minimum on-going balance requirements that must be maintained, or your brokerage account will be closed. These requirements are detailed in the account agreement(s) you receive when/if you open your brokerage account. You should also understand that our financial </w:t>
      </w:r>
      <w:r w:rsidR="006E69C6" w:rsidRPr="00480DF8">
        <w:rPr>
          <w:rFonts w:asciiTheme="minorHAnsi" w:eastAsia="Arial" w:hAnsiTheme="minorHAnsi" w:cstheme="minorHAnsi"/>
          <w:bCs/>
          <w:color w:val="auto"/>
        </w:rPr>
        <w:t>professionals</w:t>
      </w:r>
      <w:r w:rsidRPr="00480DF8">
        <w:rPr>
          <w:rFonts w:asciiTheme="minorHAnsi" w:eastAsia="Arial" w:hAnsiTheme="minorHAnsi" w:cstheme="minorHAnsi"/>
          <w:bCs/>
          <w:color w:val="auto"/>
        </w:rPr>
        <w:t xml:space="preserve"> may have their own minimum account balance requirements for the brokerage accounts they service. For example, a dedicated financial professional may choose to service only those brokerage account clients who satisfy account-specific or total household asset conditions. Minimum asset requirements are disclosed to you orally by your financial professional.</w:t>
      </w:r>
    </w:p>
    <w:p w14:paraId="446362D4" w14:textId="63401840" w:rsidR="00692CA4" w:rsidRDefault="00692CA4" w:rsidP="00904D42">
      <w:pPr>
        <w:pStyle w:val="Default0"/>
        <w:rPr>
          <w:rFonts w:asciiTheme="minorHAnsi" w:eastAsia="Arial" w:hAnsiTheme="minorHAnsi" w:cstheme="minorHAnsi"/>
          <w:bCs/>
          <w:color w:val="auto"/>
        </w:rPr>
      </w:pPr>
    </w:p>
    <w:p w14:paraId="2CEF29F4" w14:textId="6E293793" w:rsidR="007616EE" w:rsidRDefault="007616EE" w:rsidP="00904D42">
      <w:pPr>
        <w:pStyle w:val="Default0"/>
        <w:rPr>
          <w:rFonts w:asciiTheme="minorHAnsi" w:eastAsia="Arial" w:hAnsiTheme="minorHAnsi" w:cstheme="minorHAnsi"/>
          <w:bCs/>
          <w:color w:val="auto"/>
        </w:rPr>
      </w:pPr>
    </w:p>
    <w:p w14:paraId="3E45FC9C" w14:textId="77777777" w:rsidR="007616EE" w:rsidRDefault="007616EE" w:rsidP="00904D42">
      <w:pPr>
        <w:pStyle w:val="Default0"/>
        <w:rPr>
          <w:rFonts w:asciiTheme="minorHAnsi" w:eastAsia="Arial" w:hAnsiTheme="minorHAnsi" w:cstheme="minorHAnsi"/>
          <w:bCs/>
          <w:color w:val="auto"/>
        </w:rPr>
      </w:pPr>
    </w:p>
    <w:p w14:paraId="73537977" w14:textId="6467BF57" w:rsidR="00904D42" w:rsidRDefault="00904D42" w:rsidP="00904D42">
      <w:pPr>
        <w:pStyle w:val="Default0"/>
        <w:rPr>
          <w:rFonts w:asciiTheme="minorHAnsi" w:eastAsia="Arial" w:hAnsiTheme="minorHAnsi" w:cstheme="minorHAnsi"/>
          <w:bCs/>
          <w:color w:val="auto"/>
        </w:rPr>
      </w:pPr>
    </w:p>
    <w:p w14:paraId="456B76D5" w14:textId="6D4E70C1" w:rsidR="001A5CB3" w:rsidRPr="000E18CF" w:rsidRDefault="00A32CCD" w:rsidP="001A5CB3">
      <w:pPr>
        <w:pStyle w:val="Default0"/>
        <w:numPr>
          <w:ilvl w:val="0"/>
          <w:numId w:val="32"/>
        </w:numPr>
        <w:rPr>
          <w:rFonts w:asciiTheme="minorHAnsi" w:eastAsia="Arial" w:hAnsiTheme="minorHAnsi" w:cstheme="minorHAnsi"/>
          <w:b/>
          <w:color w:val="auto"/>
          <w:sz w:val="28"/>
          <w:szCs w:val="28"/>
        </w:rPr>
      </w:pPr>
      <w:r w:rsidRPr="000E18CF">
        <w:rPr>
          <w:rFonts w:asciiTheme="minorHAnsi" w:eastAsia="Arial" w:hAnsiTheme="minorHAnsi" w:cstheme="minorHAnsi"/>
          <w:b/>
          <w:color w:val="auto"/>
          <w:sz w:val="28"/>
          <w:szCs w:val="28"/>
        </w:rPr>
        <w:t>Invest</w:t>
      </w:r>
      <w:r w:rsidR="003C1C7C">
        <w:rPr>
          <w:rFonts w:asciiTheme="minorHAnsi" w:eastAsia="Arial" w:hAnsiTheme="minorHAnsi" w:cstheme="minorHAnsi"/>
          <w:b/>
          <w:color w:val="auto"/>
          <w:sz w:val="28"/>
          <w:szCs w:val="28"/>
        </w:rPr>
        <w:t>ing</w:t>
      </w:r>
      <w:r w:rsidRPr="000E18CF">
        <w:rPr>
          <w:rFonts w:asciiTheme="minorHAnsi" w:eastAsia="Arial" w:hAnsiTheme="minorHAnsi" w:cstheme="minorHAnsi"/>
          <w:b/>
          <w:color w:val="auto"/>
          <w:sz w:val="28"/>
          <w:szCs w:val="28"/>
        </w:rPr>
        <w:t xml:space="preserve"> in Mutual Funds</w:t>
      </w:r>
    </w:p>
    <w:p w14:paraId="58A451C3" w14:textId="59F6D029" w:rsidR="00A32CCD" w:rsidRPr="00874605" w:rsidRDefault="00A32CCD" w:rsidP="00904D42">
      <w:pPr>
        <w:pStyle w:val="Default0"/>
        <w:rPr>
          <w:rFonts w:asciiTheme="minorHAnsi" w:eastAsia="Arial" w:hAnsiTheme="minorHAnsi" w:cstheme="minorHAnsi"/>
          <w:bCs/>
          <w:color w:val="auto"/>
        </w:rPr>
      </w:pPr>
      <w:r>
        <w:rPr>
          <w:rFonts w:asciiTheme="minorHAnsi" w:eastAsia="Arial" w:hAnsiTheme="minorHAnsi" w:cstheme="minorHAnsi"/>
          <w:bCs/>
          <w:color w:val="auto"/>
        </w:rPr>
        <w:t xml:space="preserve">Before investing in mutual funds, you should consider </w:t>
      </w:r>
      <w:r w:rsidR="00B52022">
        <w:rPr>
          <w:rFonts w:asciiTheme="minorHAnsi" w:eastAsia="Arial" w:hAnsiTheme="minorHAnsi" w:cstheme="minorHAnsi"/>
          <w:bCs/>
          <w:color w:val="auto"/>
        </w:rPr>
        <w:t xml:space="preserve">the type of mutual fund that is right for you based on your own investment objectives, risk tolerance, time horizon and relative to each strategy’s </w:t>
      </w:r>
      <w:r w:rsidR="00B52022" w:rsidRPr="00874605">
        <w:rPr>
          <w:rFonts w:asciiTheme="minorHAnsi" w:eastAsia="Arial" w:hAnsiTheme="minorHAnsi" w:cstheme="minorHAnsi"/>
          <w:bCs/>
          <w:color w:val="auto"/>
        </w:rPr>
        <w:t xml:space="preserve">objectives, process, </w:t>
      </w:r>
      <w:proofErr w:type="gramStart"/>
      <w:r w:rsidR="00B52022" w:rsidRPr="00874605">
        <w:rPr>
          <w:rFonts w:asciiTheme="minorHAnsi" w:eastAsia="Arial" w:hAnsiTheme="minorHAnsi" w:cstheme="minorHAnsi"/>
          <w:bCs/>
          <w:color w:val="auto"/>
        </w:rPr>
        <w:t>performance</w:t>
      </w:r>
      <w:proofErr w:type="gramEnd"/>
      <w:r w:rsidR="00B52022" w:rsidRPr="00874605">
        <w:rPr>
          <w:rFonts w:asciiTheme="minorHAnsi" w:eastAsia="Arial" w:hAnsiTheme="minorHAnsi" w:cstheme="minorHAnsi"/>
          <w:bCs/>
          <w:color w:val="auto"/>
        </w:rPr>
        <w:t xml:space="preserve"> and expense structures which vary across funds and fund families. </w:t>
      </w:r>
      <w:r w:rsidR="00692CA4" w:rsidRPr="00874605">
        <w:rPr>
          <w:rFonts w:asciiTheme="minorHAnsi" w:eastAsia="Arial" w:hAnsiTheme="minorHAnsi" w:cstheme="minorHAnsi"/>
          <w:bCs/>
          <w:color w:val="auto"/>
        </w:rPr>
        <w:t>This document is</w:t>
      </w:r>
      <w:r w:rsidR="00B251EB" w:rsidRPr="00874605">
        <w:rPr>
          <w:rFonts w:asciiTheme="minorHAnsi" w:eastAsia="Arial" w:hAnsiTheme="minorHAnsi" w:cstheme="minorHAnsi"/>
          <w:bCs/>
          <w:color w:val="auto"/>
        </w:rPr>
        <w:t xml:space="preserve"> designed to help you make an informed decision about your investment planning. </w:t>
      </w:r>
      <w:r w:rsidR="00692CA4" w:rsidRPr="00874605">
        <w:rPr>
          <w:rFonts w:asciiTheme="minorHAnsi" w:eastAsia="Arial" w:hAnsiTheme="minorHAnsi" w:cstheme="minorHAnsi"/>
          <w:bCs/>
          <w:color w:val="auto"/>
        </w:rPr>
        <w:t xml:space="preserve">It is important that you read </w:t>
      </w:r>
      <w:r w:rsidR="001C02A1" w:rsidRPr="00874605">
        <w:rPr>
          <w:rFonts w:asciiTheme="minorHAnsi" w:eastAsia="Arial" w:hAnsiTheme="minorHAnsi" w:cstheme="minorHAnsi"/>
          <w:bCs/>
          <w:color w:val="auto"/>
        </w:rPr>
        <w:t xml:space="preserve">this document, </w:t>
      </w:r>
      <w:r w:rsidR="00692CA4" w:rsidRPr="00874605">
        <w:rPr>
          <w:rFonts w:asciiTheme="minorHAnsi" w:eastAsia="Arial" w:hAnsiTheme="minorHAnsi" w:cstheme="minorHAnsi"/>
          <w:bCs/>
          <w:color w:val="auto"/>
        </w:rPr>
        <w:t>the prospectus</w:t>
      </w:r>
      <w:r w:rsidR="001C02A1" w:rsidRPr="00874605">
        <w:rPr>
          <w:rFonts w:asciiTheme="minorHAnsi" w:eastAsia="Arial" w:hAnsiTheme="minorHAnsi" w:cstheme="minorHAnsi"/>
          <w:bCs/>
          <w:color w:val="auto"/>
        </w:rPr>
        <w:t xml:space="preserve">, and </w:t>
      </w:r>
      <w:r w:rsidR="00692CA4" w:rsidRPr="00874605">
        <w:rPr>
          <w:rFonts w:asciiTheme="minorHAnsi" w:eastAsia="Arial" w:hAnsiTheme="minorHAnsi" w:cstheme="minorHAnsi"/>
          <w:bCs/>
          <w:color w:val="auto"/>
        </w:rPr>
        <w:t>disclosure documents of any mutual funds you are considering</w:t>
      </w:r>
      <w:r w:rsidR="001C02A1" w:rsidRPr="00874605">
        <w:rPr>
          <w:rFonts w:asciiTheme="minorHAnsi" w:eastAsia="Arial" w:hAnsiTheme="minorHAnsi" w:cstheme="minorHAnsi"/>
          <w:bCs/>
          <w:color w:val="auto"/>
        </w:rPr>
        <w:t xml:space="preserve">. Please </w:t>
      </w:r>
      <w:r w:rsidR="00692CA4" w:rsidRPr="00874605">
        <w:rPr>
          <w:rFonts w:asciiTheme="minorHAnsi" w:eastAsia="Arial" w:hAnsiTheme="minorHAnsi" w:cstheme="minorHAnsi"/>
          <w:bCs/>
          <w:color w:val="auto"/>
        </w:rPr>
        <w:t>make sure you talk</w:t>
      </w:r>
      <w:r w:rsidR="00F91840" w:rsidRPr="00874605">
        <w:rPr>
          <w:rFonts w:asciiTheme="minorHAnsi" w:eastAsia="Arial" w:hAnsiTheme="minorHAnsi" w:cstheme="minorHAnsi"/>
          <w:bCs/>
          <w:color w:val="auto"/>
        </w:rPr>
        <w:t xml:space="preserve"> with your </w:t>
      </w:r>
      <w:r w:rsidR="00692CA4" w:rsidRPr="00874605">
        <w:rPr>
          <w:rFonts w:asciiTheme="minorHAnsi" w:eastAsia="Arial" w:hAnsiTheme="minorHAnsi" w:cstheme="minorHAnsi"/>
          <w:bCs/>
          <w:color w:val="auto"/>
        </w:rPr>
        <w:t>A</w:t>
      </w:r>
      <w:r w:rsidR="00F91840" w:rsidRPr="00874605">
        <w:rPr>
          <w:rFonts w:asciiTheme="minorHAnsi" w:eastAsia="Arial" w:hAnsiTheme="minorHAnsi" w:cstheme="minorHAnsi"/>
          <w:bCs/>
          <w:color w:val="auto"/>
        </w:rPr>
        <w:t xml:space="preserve">ccount </w:t>
      </w:r>
      <w:r w:rsidR="00692CA4" w:rsidRPr="00874605">
        <w:rPr>
          <w:rFonts w:asciiTheme="minorHAnsi" w:eastAsia="Arial" w:hAnsiTheme="minorHAnsi" w:cstheme="minorHAnsi"/>
          <w:bCs/>
          <w:color w:val="auto"/>
        </w:rPr>
        <w:t>R</w:t>
      </w:r>
      <w:r w:rsidR="00F91840" w:rsidRPr="00874605">
        <w:rPr>
          <w:rFonts w:asciiTheme="minorHAnsi" w:eastAsia="Arial" w:hAnsiTheme="minorHAnsi" w:cstheme="minorHAnsi"/>
          <w:bCs/>
          <w:color w:val="auto"/>
        </w:rPr>
        <w:t xml:space="preserve">epresentative </w:t>
      </w:r>
      <w:r w:rsidR="00692CA4" w:rsidRPr="00874605">
        <w:rPr>
          <w:rFonts w:asciiTheme="minorHAnsi" w:eastAsia="Arial" w:hAnsiTheme="minorHAnsi" w:cstheme="minorHAnsi"/>
          <w:bCs/>
          <w:color w:val="auto"/>
        </w:rPr>
        <w:t>so he/she can help you</w:t>
      </w:r>
      <w:r w:rsidR="00F91840" w:rsidRPr="00874605">
        <w:rPr>
          <w:rFonts w:asciiTheme="minorHAnsi" w:eastAsia="Arial" w:hAnsiTheme="minorHAnsi" w:cstheme="minorHAnsi"/>
          <w:bCs/>
          <w:color w:val="auto"/>
        </w:rPr>
        <w:t xml:space="preserve"> fully evaluate your options. This </w:t>
      </w:r>
      <w:r w:rsidR="00692CA4" w:rsidRPr="00874605">
        <w:rPr>
          <w:rFonts w:asciiTheme="minorHAnsi" w:eastAsia="Arial" w:hAnsiTheme="minorHAnsi" w:cstheme="minorHAnsi"/>
          <w:bCs/>
          <w:color w:val="auto"/>
        </w:rPr>
        <w:t xml:space="preserve">document </w:t>
      </w:r>
      <w:r w:rsidR="00F91840" w:rsidRPr="00874605">
        <w:rPr>
          <w:rFonts w:asciiTheme="minorHAnsi" w:eastAsia="Arial" w:hAnsiTheme="minorHAnsi" w:cstheme="minorHAnsi"/>
          <w:bCs/>
          <w:color w:val="auto"/>
        </w:rPr>
        <w:t>explains the cost</w:t>
      </w:r>
      <w:r w:rsidR="001C02A1" w:rsidRPr="00874605">
        <w:rPr>
          <w:rFonts w:asciiTheme="minorHAnsi" w:eastAsia="Arial" w:hAnsiTheme="minorHAnsi" w:cstheme="minorHAnsi"/>
          <w:bCs/>
          <w:color w:val="auto"/>
        </w:rPr>
        <w:t>s</w:t>
      </w:r>
      <w:r w:rsidR="00F91840" w:rsidRPr="00874605">
        <w:rPr>
          <w:rFonts w:asciiTheme="minorHAnsi" w:eastAsia="Arial" w:hAnsiTheme="minorHAnsi" w:cstheme="minorHAnsi"/>
          <w:bCs/>
          <w:color w:val="auto"/>
        </w:rPr>
        <w:t xml:space="preserve"> associated with different share classes, compensation cost and discounts that are available to you.</w:t>
      </w:r>
    </w:p>
    <w:p w14:paraId="7527DAC3" w14:textId="15005949" w:rsidR="00A36F71" w:rsidRPr="00874605" w:rsidRDefault="00A36F71" w:rsidP="00904D42">
      <w:pPr>
        <w:pStyle w:val="Default0"/>
        <w:rPr>
          <w:rFonts w:asciiTheme="minorHAnsi" w:eastAsia="Arial" w:hAnsiTheme="minorHAnsi" w:cstheme="minorHAnsi"/>
          <w:bCs/>
          <w:color w:val="auto"/>
        </w:rPr>
      </w:pPr>
    </w:p>
    <w:p w14:paraId="496E1578" w14:textId="307488BA" w:rsidR="00A36F71" w:rsidRPr="00874605" w:rsidRDefault="00A36F71" w:rsidP="00904D42">
      <w:pPr>
        <w:pStyle w:val="Default0"/>
        <w:rPr>
          <w:rFonts w:asciiTheme="minorHAnsi" w:eastAsia="Arial" w:hAnsiTheme="minorHAnsi" w:cstheme="minorHAnsi"/>
          <w:b/>
          <w:color w:val="auto"/>
        </w:rPr>
      </w:pPr>
      <w:r w:rsidRPr="00874605">
        <w:rPr>
          <w:rFonts w:asciiTheme="minorHAnsi" w:eastAsia="Arial" w:hAnsiTheme="minorHAnsi" w:cstheme="minorHAnsi"/>
          <w:b/>
          <w:color w:val="auto"/>
        </w:rPr>
        <w:t>Mutual Fund Fees &amp; Expenses</w:t>
      </w:r>
    </w:p>
    <w:p w14:paraId="01AE0C95" w14:textId="1EBE428B" w:rsidR="00A36F71" w:rsidRDefault="00A36F71" w:rsidP="00904D42">
      <w:pPr>
        <w:pStyle w:val="Default0"/>
        <w:rPr>
          <w:rFonts w:asciiTheme="minorHAnsi" w:eastAsia="Arial" w:hAnsiTheme="minorHAnsi" w:cstheme="minorHAnsi"/>
          <w:bCs/>
          <w:color w:val="auto"/>
        </w:rPr>
      </w:pPr>
      <w:r w:rsidRPr="00874605">
        <w:rPr>
          <w:rFonts w:asciiTheme="minorHAnsi" w:eastAsia="Arial" w:hAnsiTheme="minorHAnsi" w:cstheme="minorHAnsi"/>
          <w:bCs/>
          <w:color w:val="auto"/>
        </w:rPr>
        <w:t xml:space="preserve">Like most </w:t>
      </w:r>
      <w:r w:rsidR="00BE3579" w:rsidRPr="00874605">
        <w:rPr>
          <w:rFonts w:asciiTheme="minorHAnsi" w:eastAsia="Arial" w:hAnsiTheme="minorHAnsi" w:cstheme="minorHAnsi"/>
          <w:bCs/>
          <w:color w:val="auto"/>
        </w:rPr>
        <w:t>investments</w:t>
      </w:r>
      <w:r w:rsidRPr="00874605">
        <w:rPr>
          <w:rFonts w:asciiTheme="minorHAnsi" w:eastAsia="Arial" w:hAnsiTheme="minorHAnsi" w:cstheme="minorHAnsi"/>
          <w:bCs/>
          <w:color w:val="auto"/>
        </w:rPr>
        <w:t>, there are certain charges associated with mutual funds. The prospectus spells out</w:t>
      </w:r>
      <w:r w:rsidR="009E630E" w:rsidRPr="00874605">
        <w:rPr>
          <w:rFonts w:asciiTheme="minorHAnsi" w:eastAsia="Arial" w:hAnsiTheme="minorHAnsi" w:cstheme="minorHAnsi"/>
          <w:bCs/>
          <w:color w:val="auto"/>
        </w:rPr>
        <w:t xml:space="preserve"> the charges you pay, </w:t>
      </w:r>
      <w:r w:rsidR="009E630E">
        <w:rPr>
          <w:rFonts w:asciiTheme="minorHAnsi" w:eastAsia="Arial" w:hAnsiTheme="minorHAnsi" w:cstheme="minorHAnsi"/>
          <w:bCs/>
          <w:color w:val="auto"/>
        </w:rPr>
        <w:t>including sales charges and annual operating expenses.  These charges vary by share class.</w:t>
      </w:r>
    </w:p>
    <w:p w14:paraId="56370B53" w14:textId="18BA543C" w:rsidR="009E630E" w:rsidRDefault="009E630E" w:rsidP="00904D42">
      <w:pPr>
        <w:pStyle w:val="Default0"/>
        <w:rPr>
          <w:rFonts w:asciiTheme="minorHAnsi" w:eastAsia="Arial" w:hAnsiTheme="minorHAnsi" w:cstheme="minorHAnsi"/>
          <w:bCs/>
          <w:color w:val="auto"/>
        </w:rPr>
      </w:pPr>
    </w:p>
    <w:p w14:paraId="3F3E368C" w14:textId="75FC7091" w:rsidR="009E630E" w:rsidRPr="004007D5" w:rsidRDefault="009E630E" w:rsidP="00904D42">
      <w:pPr>
        <w:pStyle w:val="Default0"/>
        <w:rPr>
          <w:rFonts w:asciiTheme="minorHAnsi" w:eastAsia="Arial" w:hAnsiTheme="minorHAnsi" w:cstheme="minorHAnsi"/>
          <w:b/>
          <w:color w:val="auto"/>
        </w:rPr>
      </w:pPr>
      <w:r w:rsidRPr="004007D5">
        <w:rPr>
          <w:rFonts w:asciiTheme="minorHAnsi" w:eastAsia="Arial" w:hAnsiTheme="minorHAnsi" w:cstheme="minorHAnsi"/>
          <w:b/>
          <w:color w:val="auto"/>
        </w:rPr>
        <w:t>Sales Charges</w:t>
      </w:r>
    </w:p>
    <w:p w14:paraId="17D5E88F" w14:textId="5718547C" w:rsidR="00A61405" w:rsidRPr="00F053BC" w:rsidRDefault="009E630E" w:rsidP="00A61405">
      <w:pPr>
        <w:pStyle w:val="Default0"/>
        <w:rPr>
          <w:rFonts w:asciiTheme="minorHAnsi" w:hAnsiTheme="minorHAnsi" w:cstheme="minorHAnsi"/>
          <w:bCs/>
        </w:rPr>
      </w:pPr>
      <w:r>
        <w:rPr>
          <w:rFonts w:asciiTheme="minorHAnsi" w:eastAsia="Arial" w:hAnsiTheme="minorHAnsi" w:cstheme="minorHAnsi"/>
          <w:bCs/>
          <w:color w:val="auto"/>
        </w:rPr>
        <w:t xml:space="preserve">Sales charges are levied on either </w:t>
      </w:r>
      <w:proofErr w:type="gramStart"/>
      <w:r>
        <w:rPr>
          <w:rFonts w:asciiTheme="minorHAnsi" w:eastAsia="Arial" w:hAnsiTheme="minorHAnsi" w:cstheme="minorHAnsi"/>
          <w:bCs/>
          <w:color w:val="auto"/>
        </w:rPr>
        <w:t>front</w:t>
      </w:r>
      <w:proofErr w:type="gramEnd"/>
      <w:r>
        <w:rPr>
          <w:rFonts w:asciiTheme="minorHAnsi" w:eastAsia="Arial" w:hAnsiTheme="minorHAnsi" w:cstheme="minorHAnsi"/>
          <w:bCs/>
          <w:color w:val="auto"/>
        </w:rPr>
        <w:t xml:space="preserve">-end or the </w:t>
      </w:r>
      <w:r w:rsidR="004007D5">
        <w:rPr>
          <w:rFonts w:asciiTheme="minorHAnsi" w:eastAsia="Arial" w:hAnsiTheme="minorHAnsi" w:cstheme="minorHAnsi"/>
          <w:bCs/>
          <w:color w:val="auto"/>
        </w:rPr>
        <w:t>back end</w:t>
      </w:r>
      <w:r>
        <w:rPr>
          <w:rFonts w:asciiTheme="minorHAnsi" w:eastAsia="Arial" w:hAnsiTheme="minorHAnsi" w:cstheme="minorHAnsi"/>
          <w:bCs/>
          <w:color w:val="auto"/>
        </w:rPr>
        <w:t xml:space="preserve"> of a mutual fund transaction that includes AC and your AC </w:t>
      </w:r>
      <w:r w:rsidR="004007D5">
        <w:rPr>
          <w:rFonts w:asciiTheme="minorHAnsi" w:eastAsia="Arial" w:hAnsiTheme="minorHAnsi" w:cstheme="minorHAnsi"/>
          <w:bCs/>
          <w:color w:val="auto"/>
        </w:rPr>
        <w:t xml:space="preserve">representative. Front-end charges are levied when you purchase certain classes of shares. </w:t>
      </w:r>
      <w:r w:rsidR="00A61405" w:rsidRPr="00F053BC">
        <w:rPr>
          <w:rFonts w:asciiTheme="minorHAnsi" w:hAnsiTheme="minorHAnsi" w:cstheme="minorHAnsi"/>
          <w:bCs/>
        </w:rPr>
        <w:t xml:space="preserve">Front-end sales charge fees may be charged and paid to us and your financial </w:t>
      </w:r>
      <w:proofErr w:type="gramStart"/>
      <w:r w:rsidR="00A61405" w:rsidRPr="00F053BC">
        <w:rPr>
          <w:rFonts w:asciiTheme="minorHAnsi" w:hAnsiTheme="minorHAnsi" w:cstheme="minorHAnsi"/>
          <w:bCs/>
        </w:rPr>
        <w:t>professional, when</w:t>
      </w:r>
      <w:proofErr w:type="gramEnd"/>
      <w:r w:rsidR="00A61405" w:rsidRPr="00F053BC">
        <w:rPr>
          <w:rFonts w:asciiTheme="minorHAnsi" w:hAnsiTheme="minorHAnsi" w:cstheme="minorHAnsi"/>
          <w:bCs/>
        </w:rPr>
        <w:t xml:space="preserve"> you purchase a mutual fund. The front-end sales charge is deducted from the initial investment </w:t>
      </w:r>
      <w:proofErr w:type="gramStart"/>
      <w:r w:rsidR="00A61405" w:rsidRPr="00F053BC">
        <w:rPr>
          <w:rFonts w:asciiTheme="minorHAnsi" w:hAnsiTheme="minorHAnsi" w:cstheme="minorHAnsi"/>
          <w:bCs/>
        </w:rPr>
        <w:t>on</w:t>
      </w:r>
      <w:proofErr w:type="gramEnd"/>
      <w:r w:rsidR="00A61405" w:rsidRPr="00F053BC">
        <w:rPr>
          <w:rFonts w:asciiTheme="minorHAnsi" w:hAnsiTheme="minorHAnsi" w:cstheme="minorHAnsi"/>
          <w:bCs/>
        </w:rPr>
        <w:t xml:space="preserve"> certain share classes. Some purchases may qualify for a reduced front-end sales charge due to breakpoint discounts based on the amount of transaction and rights of accumulation. In addition, some purchases may qualify for a sales charge waiver based on the type of account, and/or certain qualifications within the account. You should contact your financial professional to determine if you are eligible for sales charge waivers. </w:t>
      </w:r>
    </w:p>
    <w:p w14:paraId="02C4A3FD" w14:textId="77777777" w:rsidR="00A61405" w:rsidRDefault="00A61405" w:rsidP="00904D42">
      <w:pPr>
        <w:pStyle w:val="Default0"/>
        <w:rPr>
          <w:rFonts w:asciiTheme="minorHAnsi" w:eastAsia="Arial" w:hAnsiTheme="minorHAnsi" w:cstheme="minorHAnsi"/>
          <w:bCs/>
          <w:color w:val="auto"/>
        </w:rPr>
      </w:pPr>
    </w:p>
    <w:p w14:paraId="707750F3" w14:textId="1BFEB409" w:rsidR="009E630E" w:rsidRDefault="004007D5" w:rsidP="00904D42">
      <w:pPr>
        <w:pStyle w:val="Default0"/>
        <w:rPr>
          <w:rFonts w:asciiTheme="minorHAnsi" w:eastAsia="Arial" w:hAnsiTheme="minorHAnsi" w:cstheme="minorHAnsi"/>
          <w:bCs/>
          <w:color w:val="auto"/>
        </w:rPr>
      </w:pPr>
      <w:r>
        <w:rPr>
          <w:rFonts w:asciiTheme="minorHAnsi" w:eastAsia="Arial" w:hAnsiTheme="minorHAnsi" w:cstheme="minorHAnsi"/>
          <w:bCs/>
          <w:color w:val="auto"/>
        </w:rPr>
        <w:t xml:space="preserve">Back-end charges or contingent deferred sales charges (“CDSC”) are levied when you sell certain classes of shares.  However, back-end charges decline over time, so you pay less or nothing at all in sales charges as you hold your shares for </w:t>
      </w:r>
      <w:r w:rsidR="006E69C6">
        <w:rPr>
          <w:rFonts w:asciiTheme="minorHAnsi" w:eastAsia="Arial" w:hAnsiTheme="minorHAnsi" w:cstheme="minorHAnsi"/>
          <w:bCs/>
          <w:color w:val="auto"/>
        </w:rPr>
        <w:t>a longer</w:t>
      </w:r>
      <w:r>
        <w:rPr>
          <w:rFonts w:asciiTheme="minorHAnsi" w:eastAsia="Arial" w:hAnsiTheme="minorHAnsi" w:cstheme="minorHAnsi"/>
          <w:bCs/>
          <w:color w:val="auto"/>
        </w:rPr>
        <w:t xml:space="preserve"> </w:t>
      </w:r>
      <w:proofErr w:type="gramStart"/>
      <w:r>
        <w:rPr>
          <w:rFonts w:asciiTheme="minorHAnsi" w:eastAsia="Arial" w:hAnsiTheme="minorHAnsi" w:cstheme="minorHAnsi"/>
          <w:bCs/>
          <w:color w:val="auto"/>
        </w:rPr>
        <w:t>period of time</w:t>
      </w:r>
      <w:proofErr w:type="gramEnd"/>
      <w:r>
        <w:rPr>
          <w:rFonts w:asciiTheme="minorHAnsi" w:eastAsia="Arial" w:hAnsiTheme="minorHAnsi" w:cstheme="minorHAnsi"/>
          <w:bCs/>
          <w:color w:val="auto"/>
        </w:rPr>
        <w:t xml:space="preserve">. </w:t>
      </w:r>
      <w:r w:rsidR="00AF7A03" w:rsidRPr="00F053BC">
        <w:rPr>
          <w:rFonts w:asciiTheme="minorHAnsi" w:eastAsia="Arial" w:hAnsiTheme="minorHAnsi" w:cstheme="minorHAnsi"/>
          <w:bCs/>
          <w:color w:val="auto"/>
        </w:rPr>
        <w:t xml:space="preserve">This charge typically exists only </w:t>
      </w:r>
      <w:proofErr w:type="gramStart"/>
      <w:r w:rsidR="00AF7A03" w:rsidRPr="00F053BC">
        <w:rPr>
          <w:rFonts w:asciiTheme="minorHAnsi" w:eastAsia="Arial" w:hAnsiTheme="minorHAnsi" w:cstheme="minorHAnsi"/>
          <w:bCs/>
          <w:color w:val="auto"/>
        </w:rPr>
        <w:t>on</w:t>
      </w:r>
      <w:proofErr w:type="gramEnd"/>
      <w:r w:rsidR="00AF7A03" w:rsidRPr="00F053BC">
        <w:rPr>
          <w:rFonts w:asciiTheme="minorHAnsi" w:eastAsia="Arial" w:hAnsiTheme="minorHAnsi" w:cstheme="minorHAnsi"/>
          <w:bCs/>
          <w:color w:val="auto"/>
        </w:rPr>
        <w:t xml:space="preserve"> share classes that do not have a front-end sales charge. CDSCs are not charged when you purchase a mutual fund</w:t>
      </w:r>
      <w:r w:rsidR="00AF7A03">
        <w:rPr>
          <w:rFonts w:asciiTheme="minorHAnsi" w:eastAsia="Arial" w:hAnsiTheme="minorHAnsi" w:cstheme="minorHAnsi"/>
          <w:bCs/>
          <w:color w:val="auto"/>
        </w:rPr>
        <w:t xml:space="preserve">. </w:t>
      </w:r>
      <w:r w:rsidR="00AF7A03" w:rsidRPr="00AF7A03">
        <w:rPr>
          <w:rFonts w:asciiTheme="minorHAnsi" w:eastAsia="Arial" w:hAnsiTheme="minorHAnsi" w:cstheme="minorHAnsi"/>
          <w:bCs/>
          <w:color w:val="auto"/>
        </w:rPr>
        <w:t xml:space="preserve"> </w:t>
      </w:r>
      <w:r w:rsidR="00A61405" w:rsidRPr="00F053BC">
        <w:rPr>
          <w:rFonts w:asciiTheme="minorHAnsi" w:eastAsia="Arial" w:hAnsiTheme="minorHAnsi" w:cstheme="minorHAnsi"/>
          <w:bCs/>
          <w:color w:val="auto"/>
        </w:rPr>
        <w:t xml:space="preserve">A CDSC is not passed on to your financial professional. You can find a description of the amount and payment frequency of all fees and expenses charged and paid by the mutual fund in the prospectus. Fees and expenses disclosed in the mutual fund’s prospectus are charged against the investment values of the mutual fund. </w:t>
      </w:r>
      <w:r>
        <w:rPr>
          <w:rFonts w:asciiTheme="minorHAnsi" w:eastAsia="Arial" w:hAnsiTheme="minorHAnsi" w:cstheme="minorHAnsi"/>
          <w:bCs/>
          <w:color w:val="auto"/>
        </w:rPr>
        <w:t>When choosing a mutual fund, you want to ask about sales charges and take the type of charge into consideration based on your investment goals.</w:t>
      </w:r>
    </w:p>
    <w:p w14:paraId="65833689" w14:textId="75D009CC" w:rsidR="00193633" w:rsidRDefault="00193633" w:rsidP="00904D42">
      <w:pPr>
        <w:pStyle w:val="Default0"/>
        <w:rPr>
          <w:rFonts w:asciiTheme="minorHAnsi" w:eastAsia="Arial" w:hAnsiTheme="minorHAnsi" w:cstheme="minorHAnsi"/>
          <w:bCs/>
          <w:color w:val="auto"/>
        </w:rPr>
      </w:pPr>
    </w:p>
    <w:p w14:paraId="4914C3C1" w14:textId="1DB0B826" w:rsidR="00193633" w:rsidRPr="00F57BC5" w:rsidRDefault="00193633" w:rsidP="00904D42">
      <w:pPr>
        <w:pStyle w:val="Default0"/>
        <w:rPr>
          <w:rFonts w:asciiTheme="minorHAnsi" w:eastAsia="Arial" w:hAnsiTheme="minorHAnsi" w:cstheme="minorHAnsi"/>
          <w:b/>
          <w:color w:val="auto"/>
        </w:rPr>
      </w:pPr>
      <w:r w:rsidRPr="00F57BC5">
        <w:rPr>
          <w:rFonts w:asciiTheme="minorHAnsi" w:eastAsia="Arial" w:hAnsiTheme="minorHAnsi" w:cstheme="minorHAnsi"/>
          <w:b/>
          <w:color w:val="auto"/>
        </w:rPr>
        <w:t>Operating Expenses</w:t>
      </w:r>
    </w:p>
    <w:p w14:paraId="1F9559E8" w14:textId="2BECE54C" w:rsidR="00193633" w:rsidRDefault="00193633" w:rsidP="00904D42">
      <w:pPr>
        <w:pStyle w:val="Default0"/>
        <w:rPr>
          <w:rFonts w:asciiTheme="minorHAnsi" w:eastAsia="Arial" w:hAnsiTheme="minorHAnsi" w:cstheme="minorHAnsi"/>
          <w:bCs/>
          <w:color w:val="auto"/>
        </w:rPr>
      </w:pPr>
      <w:r>
        <w:rPr>
          <w:rFonts w:asciiTheme="minorHAnsi" w:eastAsia="Arial" w:hAnsiTheme="minorHAnsi" w:cstheme="minorHAnsi"/>
          <w:bCs/>
          <w:color w:val="auto"/>
        </w:rPr>
        <w:t>Fund operating expenses include management fees, SEC Rule 12b-1 fees</w:t>
      </w:r>
      <w:r>
        <w:rPr>
          <w:rStyle w:val="FootnoteReference"/>
          <w:rFonts w:asciiTheme="minorHAnsi" w:eastAsia="Arial" w:hAnsiTheme="minorHAnsi" w:cstheme="minorHAnsi"/>
          <w:bCs/>
          <w:color w:val="auto"/>
        </w:rPr>
        <w:footnoteReference w:id="3"/>
      </w:r>
      <w:r w:rsidR="00420423">
        <w:rPr>
          <w:rFonts w:asciiTheme="minorHAnsi" w:eastAsia="Arial" w:hAnsiTheme="minorHAnsi" w:cstheme="minorHAnsi"/>
          <w:bCs/>
          <w:color w:val="auto"/>
        </w:rPr>
        <w:t xml:space="preserve">, the costs of shareholder communications and other expenses.  Operating expenses are deducted from the fund’s assets, reducing investment returns, although they are not charged as an additional fee separate from the mutual fund’s internal expenses.  Operating expenses </w:t>
      </w:r>
      <w:r w:rsidR="00F57BC5">
        <w:rPr>
          <w:rFonts w:asciiTheme="minorHAnsi" w:eastAsia="Arial" w:hAnsiTheme="minorHAnsi" w:cstheme="minorHAnsi"/>
          <w:bCs/>
          <w:color w:val="auto"/>
        </w:rPr>
        <w:t>vary</w:t>
      </w:r>
      <w:r w:rsidR="00420423">
        <w:rPr>
          <w:rFonts w:asciiTheme="minorHAnsi" w:eastAsia="Arial" w:hAnsiTheme="minorHAnsi" w:cstheme="minorHAnsi"/>
          <w:bCs/>
          <w:color w:val="auto"/>
        </w:rPr>
        <w:t xml:space="preserve"> by fund, fund </w:t>
      </w:r>
      <w:r w:rsidR="00F57BC5">
        <w:rPr>
          <w:rFonts w:asciiTheme="minorHAnsi" w:eastAsia="Arial" w:hAnsiTheme="minorHAnsi" w:cstheme="minorHAnsi"/>
          <w:bCs/>
          <w:color w:val="auto"/>
        </w:rPr>
        <w:t>family</w:t>
      </w:r>
      <w:r w:rsidR="00420423">
        <w:rPr>
          <w:rFonts w:asciiTheme="minorHAnsi" w:eastAsia="Arial" w:hAnsiTheme="minorHAnsi" w:cstheme="minorHAnsi"/>
          <w:bCs/>
          <w:color w:val="auto"/>
        </w:rPr>
        <w:t>, investment objective, and share</w:t>
      </w:r>
      <w:r w:rsidR="00F57BC5">
        <w:rPr>
          <w:rFonts w:asciiTheme="minorHAnsi" w:eastAsia="Arial" w:hAnsiTheme="minorHAnsi" w:cstheme="minorHAnsi"/>
          <w:bCs/>
          <w:color w:val="auto"/>
        </w:rPr>
        <w:t xml:space="preserve"> class such that higher operating costs correspondingly reduce the mutual fund investment returns. The fund’s prospectus will provide you with a record of the funds expense ratio, so that you can compare the expense costs of various funds.</w:t>
      </w:r>
    </w:p>
    <w:p w14:paraId="3A256F93" w14:textId="49362182" w:rsidR="00181974" w:rsidRDefault="00181974" w:rsidP="00904D42">
      <w:pPr>
        <w:pStyle w:val="Default0"/>
        <w:rPr>
          <w:rFonts w:asciiTheme="minorHAnsi" w:eastAsia="Arial" w:hAnsiTheme="minorHAnsi" w:cstheme="minorHAnsi"/>
          <w:bCs/>
          <w:color w:val="auto"/>
        </w:rPr>
      </w:pPr>
    </w:p>
    <w:p w14:paraId="3500E904" w14:textId="315A4F84" w:rsidR="009E5E64" w:rsidRDefault="00181974" w:rsidP="00904D42">
      <w:pPr>
        <w:pStyle w:val="Default0"/>
        <w:rPr>
          <w:rFonts w:asciiTheme="minorHAnsi" w:eastAsia="Arial" w:hAnsiTheme="minorHAnsi" w:cstheme="minorHAnsi"/>
          <w:b/>
          <w:color w:val="auto"/>
        </w:rPr>
      </w:pPr>
      <w:r w:rsidRPr="004E3AFA">
        <w:rPr>
          <w:rFonts w:asciiTheme="minorHAnsi" w:eastAsia="Arial" w:hAnsiTheme="minorHAnsi" w:cstheme="minorHAnsi"/>
          <w:b/>
          <w:color w:val="auto"/>
        </w:rPr>
        <w:t>Classes of Shares</w:t>
      </w:r>
    </w:p>
    <w:p w14:paraId="24AF4426" w14:textId="7ABCB88D" w:rsidR="00181974" w:rsidRDefault="004E3AFA" w:rsidP="00904D42">
      <w:pPr>
        <w:pStyle w:val="Default0"/>
        <w:rPr>
          <w:rFonts w:asciiTheme="minorHAnsi" w:eastAsia="Arial" w:hAnsiTheme="minorHAnsi" w:cstheme="minorHAnsi"/>
          <w:bCs/>
          <w:color w:val="auto"/>
        </w:rPr>
      </w:pPr>
      <w:r>
        <w:rPr>
          <w:rFonts w:asciiTheme="minorHAnsi" w:eastAsia="Arial" w:hAnsiTheme="minorHAnsi" w:cstheme="minorHAnsi"/>
          <w:b/>
          <w:color w:val="auto"/>
        </w:rPr>
        <w:t>Class A Shares</w:t>
      </w:r>
      <w:r w:rsidR="00181974">
        <w:rPr>
          <w:rFonts w:asciiTheme="minorHAnsi" w:eastAsia="Arial" w:hAnsiTheme="minorHAnsi" w:cstheme="minorHAnsi"/>
          <w:bCs/>
          <w:color w:val="auto"/>
        </w:rPr>
        <w:t xml:space="preserve"> generally carry front-end sales charges.</w:t>
      </w:r>
      <w:r w:rsidR="00BC78D3">
        <w:rPr>
          <w:rFonts w:asciiTheme="minorHAnsi" w:eastAsia="Arial" w:hAnsiTheme="minorHAnsi" w:cstheme="minorHAnsi"/>
          <w:bCs/>
          <w:color w:val="auto"/>
        </w:rPr>
        <w:t xml:space="preserve"> These are deducted </w:t>
      </w:r>
      <w:r w:rsidR="00126F95">
        <w:rPr>
          <w:rFonts w:asciiTheme="minorHAnsi" w:eastAsia="Arial" w:hAnsiTheme="minorHAnsi" w:cstheme="minorHAnsi"/>
          <w:bCs/>
          <w:color w:val="auto"/>
        </w:rPr>
        <w:t>from</w:t>
      </w:r>
      <w:r w:rsidR="00BC78D3">
        <w:rPr>
          <w:rFonts w:asciiTheme="minorHAnsi" w:eastAsia="Arial" w:hAnsiTheme="minorHAnsi" w:cstheme="minorHAnsi"/>
          <w:bCs/>
          <w:color w:val="auto"/>
        </w:rPr>
        <w:t xml:space="preserve"> your </w:t>
      </w:r>
      <w:r w:rsidR="00126F95">
        <w:rPr>
          <w:rFonts w:asciiTheme="minorHAnsi" w:eastAsia="Arial" w:hAnsiTheme="minorHAnsi" w:cstheme="minorHAnsi"/>
          <w:bCs/>
          <w:color w:val="auto"/>
        </w:rPr>
        <w:t>initial</w:t>
      </w:r>
      <w:r w:rsidR="00BC78D3">
        <w:rPr>
          <w:rFonts w:asciiTheme="minorHAnsi" w:eastAsia="Arial" w:hAnsiTheme="minorHAnsi" w:cstheme="minorHAnsi"/>
          <w:bCs/>
          <w:color w:val="auto"/>
        </w:rPr>
        <w:t xml:space="preserve"> </w:t>
      </w:r>
      <w:r w:rsidR="00126F95">
        <w:rPr>
          <w:rFonts w:asciiTheme="minorHAnsi" w:eastAsia="Arial" w:hAnsiTheme="minorHAnsi" w:cstheme="minorHAnsi"/>
          <w:bCs/>
          <w:color w:val="auto"/>
        </w:rPr>
        <w:t>investment</w:t>
      </w:r>
      <w:r w:rsidR="00BC78D3">
        <w:rPr>
          <w:rFonts w:asciiTheme="minorHAnsi" w:eastAsia="Arial" w:hAnsiTheme="minorHAnsi" w:cstheme="minorHAnsi"/>
          <w:bCs/>
          <w:color w:val="auto"/>
        </w:rPr>
        <w:t xml:space="preserve">. The front-end charge can range from 0.00% to 5.75%. </w:t>
      </w:r>
      <w:proofErr w:type="gramStart"/>
      <w:r w:rsidR="00BC78D3">
        <w:rPr>
          <w:rFonts w:asciiTheme="minorHAnsi" w:eastAsia="Arial" w:hAnsiTheme="minorHAnsi" w:cstheme="minorHAnsi"/>
          <w:bCs/>
          <w:color w:val="auto"/>
        </w:rPr>
        <w:t>A shares</w:t>
      </w:r>
      <w:proofErr w:type="gramEnd"/>
      <w:r w:rsidR="00BC78D3">
        <w:rPr>
          <w:rFonts w:asciiTheme="minorHAnsi" w:eastAsia="Arial" w:hAnsiTheme="minorHAnsi" w:cstheme="minorHAnsi"/>
          <w:bCs/>
          <w:color w:val="auto"/>
        </w:rPr>
        <w:t xml:space="preserve"> typically charge annual 12b-1 fees of </w:t>
      </w:r>
      <w:r w:rsidR="004E3775">
        <w:rPr>
          <w:rFonts w:asciiTheme="minorHAnsi" w:eastAsia="Arial" w:hAnsiTheme="minorHAnsi" w:cstheme="minorHAnsi"/>
          <w:bCs/>
          <w:color w:val="auto"/>
        </w:rPr>
        <w:t xml:space="preserve">0.25%. </w:t>
      </w:r>
    </w:p>
    <w:p w14:paraId="5A7B8BD5" w14:textId="77777777" w:rsidR="004E3AFA" w:rsidRDefault="004E3AFA" w:rsidP="00904D42">
      <w:pPr>
        <w:pStyle w:val="Default0"/>
        <w:rPr>
          <w:rFonts w:asciiTheme="minorHAnsi" w:eastAsia="Arial" w:hAnsiTheme="minorHAnsi" w:cstheme="minorHAnsi"/>
          <w:bCs/>
          <w:color w:val="auto"/>
        </w:rPr>
      </w:pPr>
    </w:p>
    <w:p w14:paraId="4CBEFABB" w14:textId="6E35B992" w:rsidR="004E3775" w:rsidRDefault="004E3775" w:rsidP="004E3775">
      <w:pPr>
        <w:pStyle w:val="Default0"/>
        <w:numPr>
          <w:ilvl w:val="0"/>
          <w:numId w:val="33"/>
        </w:numPr>
        <w:rPr>
          <w:rFonts w:asciiTheme="minorHAnsi" w:eastAsia="Arial" w:hAnsiTheme="minorHAnsi" w:cstheme="minorHAnsi"/>
          <w:color w:val="auto"/>
        </w:rPr>
      </w:pPr>
      <w:r w:rsidRPr="004E3AFA">
        <w:rPr>
          <w:rFonts w:asciiTheme="minorHAnsi" w:eastAsia="Arial" w:hAnsiTheme="minorHAnsi" w:cstheme="minorHAnsi"/>
          <w:b/>
          <w:bCs/>
          <w:color w:val="auto"/>
        </w:rPr>
        <w:t>Bre</w:t>
      </w:r>
      <w:r w:rsidR="00A2375A" w:rsidRPr="004E3AFA">
        <w:rPr>
          <w:rFonts w:asciiTheme="minorHAnsi" w:eastAsia="Arial" w:hAnsiTheme="minorHAnsi" w:cstheme="minorHAnsi"/>
          <w:b/>
          <w:bCs/>
          <w:color w:val="auto"/>
        </w:rPr>
        <w:t>akpoint Discounts</w:t>
      </w:r>
      <w:r w:rsidR="00A2375A">
        <w:rPr>
          <w:rFonts w:asciiTheme="minorHAnsi" w:eastAsia="Arial" w:hAnsiTheme="minorHAnsi" w:cstheme="minorHAnsi"/>
          <w:color w:val="auto"/>
        </w:rPr>
        <w:t>:</w:t>
      </w:r>
      <w:r w:rsidR="00C57C45">
        <w:rPr>
          <w:rFonts w:asciiTheme="minorHAnsi" w:eastAsia="Arial" w:hAnsiTheme="minorHAnsi" w:cstheme="minorHAnsi"/>
          <w:color w:val="auto"/>
        </w:rPr>
        <w:t xml:space="preserve"> Most Class A shares offer breakpoint discounts for large </w:t>
      </w:r>
      <w:r w:rsidR="004E3AFA">
        <w:rPr>
          <w:rFonts w:asciiTheme="minorHAnsi" w:eastAsia="Arial" w:hAnsiTheme="minorHAnsi" w:cstheme="minorHAnsi"/>
          <w:color w:val="auto"/>
        </w:rPr>
        <w:t>investments</w:t>
      </w:r>
      <w:r w:rsidR="00C57C45">
        <w:rPr>
          <w:rFonts w:asciiTheme="minorHAnsi" w:eastAsia="Arial" w:hAnsiTheme="minorHAnsi" w:cstheme="minorHAnsi"/>
          <w:color w:val="auto"/>
        </w:rPr>
        <w:t xml:space="preserve">, so that the larger your investment in a fund, the lower the sales charge percentage applied to the </w:t>
      </w:r>
      <w:r w:rsidR="004E3AFA">
        <w:rPr>
          <w:rFonts w:asciiTheme="minorHAnsi" w:eastAsia="Arial" w:hAnsiTheme="minorHAnsi" w:cstheme="minorHAnsi"/>
          <w:color w:val="auto"/>
        </w:rPr>
        <w:t>investment</w:t>
      </w:r>
      <w:r w:rsidR="00126F95">
        <w:rPr>
          <w:rFonts w:asciiTheme="minorHAnsi" w:eastAsia="Arial" w:hAnsiTheme="minorHAnsi" w:cstheme="minorHAnsi"/>
          <w:color w:val="auto"/>
        </w:rPr>
        <w:t xml:space="preserve">.  Many mutual fund groups count holdings in related accounts toward this breakpoint.  This </w:t>
      </w:r>
      <w:r w:rsidR="004E3AFA">
        <w:rPr>
          <w:rFonts w:asciiTheme="minorHAnsi" w:eastAsia="Arial" w:hAnsiTheme="minorHAnsi" w:cstheme="minorHAnsi"/>
          <w:color w:val="auto"/>
        </w:rPr>
        <w:t>privilege</w:t>
      </w:r>
      <w:r w:rsidR="00126F95">
        <w:rPr>
          <w:rFonts w:asciiTheme="minorHAnsi" w:eastAsia="Arial" w:hAnsiTheme="minorHAnsi" w:cstheme="minorHAnsi"/>
          <w:color w:val="auto"/>
        </w:rPr>
        <w:t xml:space="preserve"> is referred to as “rights of accumulation.”</w:t>
      </w:r>
    </w:p>
    <w:p w14:paraId="1E1CFABF" w14:textId="77777777" w:rsidR="004E3AFA" w:rsidRDefault="004E3AFA" w:rsidP="004E3AFA">
      <w:pPr>
        <w:pStyle w:val="Default0"/>
        <w:ind w:left="720"/>
        <w:rPr>
          <w:rFonts w:asciiTheme="minorHAnsi" w:eastAsia="Arial" w:hAnsiTheme="minorHAnsi" w:cstheme="minorHAnsi"/>
          <w:color w:val="auto"/>
        </w:rPr>
      </w:pPr>
    </w:p>
    <w:p w14:paraId="16DF56E1" w14:textId="1490D2FE" w:rsidR="004E3AFA" w:rsidRPr="00EB233B" w:rsidRDefault="004E3AFA" w:rsidP="004E3775">
      <w:pPr>
        <w:pStyle w:val="Default0"/>
        <w:numPr>
          <w:ilvl w:val="0"/>
          <w:numId w:val="33"/>
        </w:numPr>
        <w:rPr>
          <w:rFonts w:asciiTheme="minorHAnsi" w:eastAsia="Arial" w:hAnsiTheme="minorHAnsi" w:cstheme="minorHAnsi"/>
          <w:color w:val="auto"/>
        </w:rPr>
      </w:pPr>
      <w:r w:rsidRPr="004E3AFA">
        <w:rPr>
          <w:rFonts w:asciiTheme="minorHAnsi" w:eastAsia="Arial" w:hAnsiTheme="minorHAnsi" w:cstheme="minorHAnsi"/>
          <w:b/>
          <w:bCs/>
          <w:color w:val="auto"/>
        </w:rPr>
        <w:t>Letters of Intent</w:t>
      </w:r>
      <w:r>
        <w:rPr>
          <w:rFonts w:asciiTheme="minorHAnsi" w:eastAsia="Arial" w:hAnsiTheme="minorHAnsi" w:cstheme="minorHAnsi"/>
          <w:color w:val="auto"/>
        </w:rPr>
        <w:t xml:space="preserve">: Some mutual funds will grant breakpoint discounts at a lower investment level if the investor signs a letter of intent claiming an intention to invest a specified amount in the fund over a specified </w:t>
      </w:r>
      <w:proofErr w:type="gramStart"/>
      <w:r>
        <w:rPr>
          <w:rFonts w:asciiTheme="minorHAnsi" w:eastAsia="Arial" w:hAnsiTheme="minorHAnsi" w:cstheme="minorHAnsi"/>
          <w:color w:val="auto"/>
        </w:rPr>
        <w:t>period of time</w:t>
      </w:r>
      <w:proofErr w:type="gramEnd"/>
      <w:r>
        <w:rPr>
          <w:rFonts w:asciiTheme="minorHAnsi" w:eastAsia="Arial" w:hAnsiTheme="minorHAnsi" w:cstheme="minorHAnsi"/>
          <w:color w:val="auto"/>
        </w:rPr>
        <w:t xml:space="preserve">.  Each fund’s rules about rights of accumulation and letter of intent differ, so be sure to ask your AC representative about a fund family’s rules </w:t>
      </w:r>
      <w:r w:rsidRPr="00EB233B">
        <w:rPr>
          <w:rFonts w:asciiTheme="minorHAnsi" w:eastAsia="Arial" w:hAnsiTheme="minorHAnsi" w:cstheme="minorHAnsi"/>
          <w:color w:val="auto"/>
        </w:rPr>
        <w:t>before investing so you can take steps to qualify for any available discounts.</w:t>
      </w:r>
    </w:p>
    <w:p w14:paraId="441D527E" w14:textId="77777777" w:rsidR="00DE7D01" w:rsidRPr="00EB233B" w:rsidRDefault="00DE7D01" w:rsidP="00DE7D01">
      <w:pPr>
        <w:pStyle w:val="ListParagraph"/>
        <w:rPr>
          <w:rFonts w:asciiTheme="minorHAnsi" w:hAnsiTheme="minorHAnsi" w:cstheme="minorHAnsi"/>
        </w:rPr>
      </w:pPr>
    </w:p>
    <w:p w14:paraId="12FB0C8E" w14:textId="099D25BF" w:rsidR="00DE7D01" w:rsidRPr="00EB233B" w:rsidRDefault="00DE7D01" w:rsidP="00DE7D01">
      <w:pPr>
        <w:pStyle w:val="Default0"/>
        <w:rPr>
          <w:rFonts w:asciiTheme="minorHAnsi" w:eastAsia="Arial" w:hAnsiTheme="minorHAnsi" w:cstheme="minorHAnsi"/>
          <w:color w:val="auto"/>
        </w:rPr>
      </w:pPr>
      <w:r w:rsidRPr="00EB233B">
        <w:rPr>
          <w:rFonts w:asciiTheme="minorHAnsi" w:eastAsia="Arial" w:hAnsiTheme="minorHAnsi" w:cstheme="minorHAnsi"/>
          <w:b/>
          <w:bCs/>
          <w:color w:val="auto"/>
        </w:rPr>
        <w:t>Class B shares</w:t>
      </w:r>
      <w:r w:rsidRPr="00EB233B">
        <w:rPr>
          <w:rFonts w:asciiTheme="minorHAnsi" w:eastAsia="Arial" w:hAnsiTheme="minorHAnsi" w:cstheme="minorHAnsi"/>
          <w:color w:val="auto"/>
        </w:rPr>
        <w:t xml:space="preserve"> do not generally carry front-end sales charges, but their operating expenses are typically higher than those of A shares.  B shares normally impose a contingent deferred (back-end) sales charge (CDSC). The CDSC is typically reduced each year and is usually eliminated if you hold your shares for seven to eight years.  In most cases, Class B shares convert to A shares at this point. </w:t>
      </w:r>
    </w:p>
    <w:p w14:paraId="28D22066" w14:textId="77777777" w:rsidR="004E3AFA" w:rsidRPr="00EB233B" w:rsidRDefault="004E3AFA" w:rsidP="004E3AFA">
      <w:pPr>
        <w:pStyle w:val="ListParagraph"/>
        <w:rPr>
          <w:rFonts w:asciiTheme="minorHAnsi" w:hAnsiTheme="minorHAnsi" w:cstheme="minorHAnsi"/>
        </w:rPr>
      </w:pPr>
    </w:p>
    <w:p w14:paraId="61D15523" w14:textId="3050BB80" w:rsidR="00A90D83" w:rsidRPr="00EB233B" w:rsidRDefault="00A90D83" w:rsidP="004E3AFA">
      <w:pPr>
        <w:pStyle w:val="Default0"/>
        <w:rPr>
          <w:rFonts w:asciiTheme="minorHAnsi" w:eastAsia="Arial" w:hAnsiTheme="minorHAnsi" w:cstheme="minorHAnsi"/>
          <w:color w:val="auto"/>
        </w:rPr>
      </w:pPr>
      <w:r w:rsidRPr="00EB233B">
        <w:rPr>
          <w:rFonts w:asciiTheme="minorHAnsi" w:eastAsia="Arial" w:hAnsiTheme="minorHAnsi" w:cstheme="minorHAnsi"/>
          <w:b/>
          <w:bCs/>
          <w:color w:val="auto"/>
        </w:rPr>
        <w:t>Class C Shares</w:t>
      </w:r>
      <w:r w:rsidRPr="00EB233B">
        <w:rPr>
          <w:rFonts w:asciiTheme="minorHAnsi" w:eastAsia="Arial" w:hAnsiTheme="minorHAnsi" w:cstheme="minorHAnsi"/>
          <w:color w:val="auto"/>
        </w:rPr>
        <w:t xml:space="preserve"> do not generally carry a </w:t>
      </w:r>
      <w:proofErr w:type="gramStart"/>
      <w:r w:rsidRPr="00EB233B">
        <w:rPr>
          <w:rFonts w:asciiTheme="minorHAnsi" w:eastAsia="Arial" w:hAnsiTheme="minorHAnsi" w:cstheme="minorHAnsi"/>
          <w:color w:val="auto"/>
        </w:rPr>
        <w:t>front-end sales charges</w:t>
      </w:r>
      <w:proofErr w:type="gramEnd"/>
      <w:r w:rsidRPr="00EB233B">
        <w:rPr>
          <w:rFonts w:asciiTheme="minorHAnsi" w:eastAsia="Arial" w:hAnsiTheme="minorHAnsi" w:cstheme="minorHAnsi"/>
          <w:color w:val="auto"/>
        </w:rPr>
        <w:t xml:space="preserve"> and generally impose a lower CDSC, often 1 percent for a year.  C shares typically charge an annual 12b-1 fee</w:t>
      </w:r>
      <w:r w:rsidR="0062229A" w:rsidRPr="00EB233B">
        <w:rPr>
          <w:rFonts w:asciiTheme="minorHAnsi" w:eastAsia="Arial" w:hAnsiTheme="minorHAnsi" w:cstheme="minorHAnsi"/>
          <w:color w:val="auto"/>
        </w:rPr>
        <w:t xml:space="preserve"> of 0.50% to 1%. In most cases there is also a CDSC.</w:t>
      </w:r>
    </w:p>
    <w:p w14:paraId="2435D9E5" w14:textId="40F4E91A" w:rsidR="005F11C7" w:rsidRPr="00EB233B" w:rsidRDefault="005F11C7" w:rsidP="004E3AFA">
      <w:pPr>
        <w:pStyle w:val="Default0"/>
        <w:rPr>
          <w:rFonts w:asciiTheme="minorHAnsi" w:eastAsia="Arial" w:hAnsiTheme="minorHAnsi" w:cstheme="minorHAnsi"/>
          <w:color w:val="auto"/>
        </w:rPr>
      </w:pPr>
    </w:p>
    <w:p w14:paraId="0E9F6C28" w14:textId="34CCC695" w:rsidR="005F11C7" w:rsidRPr="00EB233B" w:rsidRDefault="005F11C7" w:rsidP="004E3AFA">
      <w:pPr>
        <w:pStyle w:val="Default0"/>
        <w:rPr>
          <w:rFonts w:asciiTheme="minorHAnsi" w:eastAsia="Arial" w:hAnsiTheme="minorHAnsi" w:cstheme="minorHAnsi"/>
          <w:b/>
          <w:bCs/>
          <w:color w:val="auto"/>
        </w:rPr>
      </w:pPr>
      <w:r w:rsidRPr="00EB233B">
        <w:rPr>
          <w:rFonts w:asciiTheme="minorHAnsi" w:eastAsia="Arial" w:hAnsiTheme="minorHAnsi" w:cstheme="minorHAnsi"/>
          <w:b/>
          <w:bCs/>
          <w:color w:val="auto"/>
        </w:rPr>
        <w:t xml:space="preserve">Sales Charges, 12B-1 </w:t>
      </w:r>
      <w:proofErr w:type="gramStart"/>
      <w:r w:rsidRPr="00EB233B">
        <w:rPr>
          <w:rFonts w:asciiTheme="minorHAnsi" w:eastAsia="Arial" w:hAnsiTheme="minorHAnsi" w:cstheme="minorHAnsi"/>
          <w:b/>
          <w:bCs/>
          <w:color w:val="auto"/>
        </w:rPr>
        <w:t>fees</w:t>
      </w:r>
      <w:proofErr w:type="gramEnd"/>
      <w:r w:rsidRPr="00EB233B">
        <w:rPr>
          <w:rFonts w:asciiTheme="minorHAnsi" w:eastAsia="Arial" w:hAnsiTheme="minorHAnsi" w:cstheme="minorHAnsi"/>
          <w:b/>
          <w:bCs/>
          <w:color w:val="auto"/>
        </w:rPr>
        <w:t xml:space="preserve"> and Other Compensation &amp; Conflicts of Interest</w:t>
      </w:r>
    </w:p>
    <w:p w14:paraId="79A521B1" w14:textId="60B66223" w:rsidR="006B5677" w:rsidRDefault="00F7160B" w:rsidP="004E3AFA">
      <w:pPr>
        <w:pStyle w:val="Default0"/>
        <w:rPr>
          <w:rFonts w:asciiTheme="minorHAnsi" w:eastAsia="Arial" w:hAnsiTheme="minorHAnsi" w:cstheme="minorHAnsi"/>
          <w:color w:val="auto"/>
        </w:rPr>
      </w:pPr>
      <w:r w:rsidRPr="00EB233B">
        <w:rPr>
          <w:rFonts w:asciiTheme="minorHAnsi" w:eastAsia="Arial" w:hAnsiTheme="minorHAnsi" w:cstheme="minorHAnsi"/>
          <w:color w:val="auto"/>
        </w:rPr>
        <w:t xml:space="preserve">Some funds carry higher sales charges </w:t>
      </w:r>
      <w:r>
        <w:rPr>
          <w:rFonts w:asciiTheme="minorHAnsi" w:eastAsia="Arial" w:hAnsiTheme="minorHAnsi" w:cstheme="minorHAnsi"/>
          <w:color w:val="auto"/>
        </w:rPr>
        <w:t xml:space="preserve">or operating expenses than others.  This creates an incentive for AC representatives to sell certain funds because the higher the sales charge and/or operating </w:t>
      </w:r>
      <w:r w:rsidR="006475F9">
        <w:rPr>
          <w:rFonts w:asciiTheme="minorHAnsi" w:eastAsia="Arial" w:hAnsiTheme="minorHAnsi" w:cstheme="minorHAnsi"/>
          <w:color w:val="auto"/>
        </w:rPr>
        <w:t xml:space="preserve">expenses level will result in a higher compensation amount to the AC representative.  </w:t>
      </w:r>
      <w:r w:rsidR="006B5677">
        <w:rPr>
          <w:rFonts w:asciiTheme="minorHAnsi" w:eastAsia="Arial" w:hAnsiTheme="minorHAnsi" w:cstheme="minorHAnsi"/>
          <w:color w:val="auto"/>
        </w:rPr>
        <w:t>AC mitigates this conflict of interest by disclosing it to clients and by supervising AC representatives’ investment recommendations</w:t>
      </w:r>
      <w:r w:rsidR="009A7CFA">
        <w:rPr>
          <w:rFonts w:asciiTheme="minorHAnsi" w:eastAsia="Arial" w:hAnsiTheme="minorHAnsi" w:cstheme="minorHAnsi"/>
          <w:color w:val="auto"/>
        </w:rPr>
        <w:t xml:space="preserve">.  However, AC cannot eliminate this conflict as it is inherent in the business model of a typical securities broker to be compensated in connection with its brokerage services.  </w:t>
      </w:r>
    </w:p>
    <w:p w14:paraId="4FDFC669" w14:textId="56CB80FC" w:rsidR="007953FA" w:rsidRDefault="007953FA" w:rsidP="004E3AFA">
      <w:pPr>
        <w:pStyle w:val="Default0"/>
        <w:rPr>
          <w:rFonts w:asciiTheme="minorHAnsi" w:eastAsia="Arial" w:hAnsiTheme="minorHAnsi" w:cstheme="minorHAnsi"/>
          <w:color w:val="auto"/>
        </w:rPr>
      </w:pPr>
    </w:p>
    <w:p w14:paraId="58203164" w14:textId="18FCE6E0" w:rsidR="007953FA" w:rsidRPr="00A62C93" w:rsidRDefault="007953FA" w:rsidP="004E3AFA">
      <w:pPr>
        <w:pStyle w:val="Default0"/>
        <w:rPr>
          <w:rFonts w:asciiTheme="minorHAnsi" w:eastAsia="Arial" w:hAnsiTheme="minorHAnsi" w:cstheme="minorHAnsi"/>
          <w:b/>
          <w:bCs/>
          <w:color w:val="auto"/>
        </w:rPr>
      </w:pPr>
      <w:r w:rsidRPr="00A62C93">
        <w:rPr>
          <w:rFonts w:asciiTheme="minorHAnsi" w:eastAsia="Arial" w:hAnsiTheme="minorHAnsi" w:cstheme="minorHAnsi"/>
          <w:b/>
          <w:bCs/>
          <w:color w:val="auto"/>
        </w:rPr>
        <w:t>Other Mutual Fund Share Classes</w:t>
      </w:r>
    </w:p>
    <w:p w14:paraId="53F64DD5" w14:textId="4B49F247" w:rsidR="005356FD" w:rsidRDefault="000455FA" w:rsidP="004E3AFA">
      <w:pPr>
        <w:pStyle w:val="Default0"/>
        <w:rPr>
          <w:rFonts w:asciiTheme="minorHAnsi" w:eastAsia="Arial" w:hAnsiTheme="minorHAnsi" w:cstheme="minorHAnsi"/>
          <w:color w:val="auto"/>
        </w:rPr>
      </w:pPr>
      <w:r>
        <w:rPr>
          <w:rFonts w:asciiTheme="minorHAnsi" w:eastAsia="Arial" w:hAnsiTheme="minorHAnsi" w:cstheme="minorHAnsi"/>
          <w:color w:val="auto"/>
        </w:rPr>
        <w:t xml:space="preserve">Additionally, there are other share classes of funds including but not limited to no load funds, </w:t>
      </w:r>
      <w:r w:rsidR="00A62C93">
        <w:rPr>
          <w:rFonts w:asciiTheme="minorHAnsi" w:eastAsia="Arial" w:hAnsiTheme="minorHAnsi" w:cstheme="minorHAnsi"/>
          <w:color w:val="auto"/>
        </w:rPr>
        <w:t>institutional</w:t>
      </w:r>
      <w:r>
        <w:rPr>
          <w:rFonts w:asciiTheme="minorHAnsi" w:eastAsia="Arial" w:hAnsiTheme="minorHAnsi" w:cstheme="minorHAnsi"/>
          <w:color w:val="auto"/>
        </w:rPr>
        <w:t xml:space="preserve"> share classes, or retirement share classes we </w:t>
      </w:r>
      <w:r w:rsidR="00AD0FE7">
        <w:rPr>
          <w:rFonts w:asciiTheme="minorHAnsi" w:eastAsia="Arial" w:hAnsiTheme="minorHAnsi" w:cstheme="minorHAnsi"/>
          <w:color w:val="auto"/>
        </w:rPr>
        <w:t xml:space="preserve">make available to our clients through our clearing firm, NFS.  Some mutual funds discounts, fee waivers or different share classes are not available at AC and are available only if you purchase directly from the mutual fund company, or its distributor or through financial intermediaries other than </w:t>
      </w:r>
      <w:proofErr w:type="spellStart"/>
      <w:r w:rsidR="00AD0FE7">
        <w:rPr>
          <w:rFonts w:asciiTheme="minorHAnsi" w:eastAsia="Arial" w:hAnsiTheme="minorHAnsi" w:cstheme="minorHAnsi"/>
          <w:color w:val="auto"/>
        </w:rPr>
        <w:t>Arkadios</w:t>
      </w:r>
      <w:proofErr w:type="spellEnd"/>
      <w:r w:rsidR="00AD0FE7">
        <w:rPr>
          <w:rFonts w:asciiTheme="minorHAnsi" w:eastAsia="Arial" w:hAnsiTheme="minorHAnsi" w:cstheme="minorHAnsi"/>
          <w:color w:val="auto"/>
        </w:rPr>
        <w:t xml:space="preserve"> Capital.</w:t>
      </w:r>
      <w:r w:rsidR="005356FD">
        <w:rPr>
          <w:rFonts w:asciiTheme="minorHAnsi" w:eastAsia="Arial" w:hAnsiTheme="minorHAnsi" w:cstheme="minorHAnsi"/>
          <w:color w:val="auto"/>
        </w:rPr>
        <w:t xml:space="preserve"> AC does not recommend </w:t>
      </w:r>
      <w:proofErr w:type="gramStart"/>
      <w:r w:rsidR="005356FD">
        <w:rPr>
          <w:rFonts w:asciiTheme="minorHAnsi" w:eastAsia="Arial" w:hAnsiTheme="minorHAnsi" w:cstheme="minorHAnsi"/>
          <w:color w:val="auto"/>
        </w:rPr>
        <w:t>shares</w:t>
      </w:r>
      <w:proofErr w:type="gramEnd"/>
      <w:r w:rsidR="005356FD">
        <w:rPr>
          <w:rFonts w:asciiTheme="minorHAnsi" w:eastAsia="Arial" w:hAnsiTheme="minorHAnsi" w:cstheme="minorHAnsi"/>
          <w:color w:val="auto"/>
        </w:rPr>
        <w:t xml:space="preserve"> classes </w:t>
      </w:r>
      <w:r w:rsidR="002D4687">
        <w:rPr>
          <w:rFonts w:asciiTheme="minorHAnsi" w:eastAsia="Arial" w:hAnsiTheme="minorHAnsi" w:cstheme="minorHAnsi"/>
          <w:color w:val="auto"/>
        </w:rPr>
        <w:t xml:space="preserve">of mutual funds to its clients other than as set forth above.  </w:t>
      </w:r>
    </w:p>
    <w:p w14:paraId="461190A7" w14:textId="2AE725A5" w:rsidR="002D4687" w:rsidRDefault="002D4687" w:rsidP="004E3AFA">
      <w:pPr>
        <w:pStyle w:val="Default0"/>
        <w:rPr>
          <w:rFonts w:asciiTheme="minorHAnsi" w:eastAsia="Arial" w:hAnsiTheme="minorHAnsi" w:cstheme="minorHAnsi"/>
          <w:color w:val="auto"/>
        </w:rPr>
      </w:pPr>
    </w:p>
    <w:p w14:paraId="009BEFA8" w14:textId="26D9D2F4" w:rsidR="002D4687" w:rsidRDefault="00A62C93" w:rsidP="004E3AFA">
      <w:pPr>
        <w:pStyle w:val="Default0"/>
        <w:rPr>
          <w:rFonts w:asciiTheme="minorHAnsi" w:eastAsia="Arial" w:hAnsiTheme="minorHAnsi" w:cstheme="minorHAnsi"/>
          <w:color w:val="auto"/>
        </w:rPr>
      </w:pPr>
      <w:r>
        <w:rPr>
          <w:rFonts w:asciiTheme="minorHAnsi" w:eastAsia="Arial" w:hAnsiTheme="minorHAnsi" w:cstheme="minorHAnsi"/>
          <w:color w:val="auto"/>
        </w:rPr>
        <w:t>Institutional</w:t>
      </w:r>
      <w:r w:rsidR="002D4687">
        <w:rPr>
          <w:rFonts w:asciiTheme="minorHAnsi" w:eastAsia="Arial" w:hAnsiTheme="minorHAnsi" w:cstheme="minorHAnsi"/>
          <w:color w:val="auto"/>
        </w:rPr>
        <w:t xml:space="preserve"> share </w:t>
      </w:r>
      <w:r>
        <w:rPr>
          <w:rFonts w:asciiTheme="minorHAnsi" w:eastAsia="Arial" w:hAnsiTheme="minorHAnsi" w:cstheme="minorHAnsi"/>
          <w:color w:val="auto"/>
        </w:rPr>
        <w:t>classes</w:t>
      </w:r>
      <w:r w:rsidR="002D4687">
        <w:rPr>
          <w:rFonts w:asciiTheme="minorHAnsi" w:eastAsia="Arial" w:hAnsiTheme="minorHAnsi" w:cstheme="minorHAnsi"/>
          <w:color w:val="auto"/>
        </w:rPr>
        <w:t xml:space="preserve">, which do not charge (or waive) sales </w:t>
      </w:r>
      <w:r>
        <w:rPr>
          <w:rFonts w:asciiTheme="minorHAnsi" w:eastAsia="Arial" w:hAnsiTheme="minorHAnsi" w:cstheme="minorHAnsi"/>
          <w:color w:val="auto"/>
        </w:rPr>
        <w:t>loads</w:t>
      </w:r>
      <w:r w:rsidR="002D4687">
        <w:rPr>
          <w:rFonts w:asciiTheme="minorHAnsi" w:eastAsia="Arial" w:hAnsiTheme="minorHAnsi" w:cstheme="minorHAnsi"/>
          <w:color w:val="auto"/>
        </w:rPr>
        <w:t xml:space="preserve"> and 12b-1 fees</w:t>
      </w:r>
      <w:r w:rsidR="00E74DB7">
        <w:rPr>
          <w:rFonts w:asciiTheme="minorHAnsi" w:eastAsia="Arial" w:hAnsiTheme="minorHAnsi" w:cstheme="minorHAnsi"/>
          <w:color w:val="auto"/>
        </w:rPr>
        <w:t xml:space="preserve"> are offered to AC only to clients who also have separately contracted to </w:t>
      </w:r>
      <w:r>
        <w:rPr>
          <w:rFonts w:asciiTheme="minorHAnsi" w:eastAsia="Arial" w:hAnsiTheme="minorHAnsi" w:cstheme="minorHAnsi"/>
          <w:color w:val="auto"/>
        </w:rPr>
        <w:t>engage</w:t>
      </w:r>
      <w:r w:rsidR="00E74DB7">
        <w:rPr>
          <w:rFonts w:asciiTheme="minorHAnsi" w:eastAsia="Arial" w:hAnsiTheme="minorHAnsi" w:cstheme="minorHAnsi"/>
          <w:color w:val="auto"/>
        </w:rPr>
        <w:t xml:space="preserve"> in an ongoing investment advisory relationship with AWA</w:t>
      </w:r>
      <w:r w:rsidR="009E5E64">
        <w:rPr>
          <w:rFonts w:asciiTheme="minorHAnsi" w:eastAsia="Arial" w:hAnsiTheme="minorHAnsi" w:cstheme="minorHAnsi"/>
          <w:color w:val="auto"/>
        </w:rPr>
        <w:t xml:space="preserve"> or ACG</w:t>
      </w:r>
      <w:r w:rsidR="00E74DB7">
        <w:rPr>
          <w:rFonts w:asciiTheme="minorHAnsi" w:eastAsia="Arial" w:hAnsiTheme="minorHAnsi" w:cstheme="minorHAnsi"/>
          <w:color w:val="auto"/>
        </w:rPr>
        <w:t>, our affiliated Registered Investment Adviser</w:t>
      </w:r>
      <w:r w:rsidR="009E5E64">
        <w:rPr>
          <w:rFonts w:asciiTheme="minorHAnsi" w:eastAsia="Arial" w:hAnsiTheme="minorHAnsi" w:cstheme="minorHAnsi"/>
          <w:color w:val="auto"/>
        </w:rPr>
        <w:t>s</w:t>
      </w:r>
      <w:r>
        <w:rPr>
          <w:rFonts w:asciiTheme="minorHAnsi" w:eastAsia="Arial" w:hAnsiTheme="minorHAnsi" w:cstheme="minorHAnsi"/>
          <w:color w:val="auto"/>
        </w:rPr>
        <w:t>, or to certain customers whose investments separately satisfy applicable minimum investment amounts set forth in the prospectus.</w:t>
      </w:r>
    </w:p>
    <w:p w14:paraId="0D7E9337" w14:textId="77777777" w:rsidR="00B679C1" w:rsidRDefault="00B679C1" w:rsidP="004E3AFA">
      <w:pPr>
        <w:pStyle w:val="Default0"/>
        <w:rPr>
          <w:rFonts w:asciiTheme="minorHAnsi" w:eastAsia="Arial" w:hAnsiTheme="minorHAnsi" w:cstheme="minorHAnsi"/>
          <w:color w:val="auto"/>
        </w:rPr>
      </w:pPr>
    </w:p>
    <w:p w14:paraId="3F872BBA" w14:textId="3FA54694" w:rsidR="007B4FBA" w:rsidRDefault="007B4FBA" w:rsidP="004E3AFA">
      <w:pPr>
        <w:pStyle w:val="Default0"/>
        <w:rPr>
          <w:rFonts w:asciiTheme="minorHAnsi" w:eastAsia="Arial" w:hAnsiTheme="minorHAnsi" w:cstheme="minorHAnsi"/>
          <w:color w:val="auto"/>
        </w:rPr>
      </w:pPr>
    </w:p>
    <w:p w14:paraId="42916499" w14:textId="183176C2" w:rsidR="007B4FBA" w:rsidRDefault="007B4FBA" w:rsidP="004E3AFA">
      <w:pPr>
        <w:pStyle w:val="Default0"/>
        <w:rPr>
          <w:rFonts w:asciiTheme="minorHAnsi" w:eastAsia="Arial" w:hAnsiTheme="minorHAnsi" w:cstheme="minorHAnsi"/>
          <w:b/>
          <w:bCs/>
          <w:color w:val="auto"/>
        </w:rPr>
      </w:pPr>
      <w:proofErr w:type="spellStart"/>
      <w:r w:rsidRPr="007B4FBA">
        <w:rPr>
          <w:rFonts w:asciiTheme="minorHAnsi" w:eastAsia="Arial" w:hAnsiTheme="minorHAnsi" w:cstheme="minorHAnsi"/>
          <w:b/>
          <w:bCs/>
          <w:color w:val="auto"/>
        </w:rPr>
        <w:t>Arkadios</w:t>
      </w:r>
      <w:proofErr w:type="spellEnd"/>
      <w:r w:rsidRPr="007B4FBA">
        <w:rPr>
          <w:rFonts w:asciiTheme="minorHAnsi" w:eastAsia="Arial" w:hAnsiTheme="minorHAnsi" w:cstheme="minorHAnsi"/>
          <w:b/>
          <w:bCs/>
          <w:color w:val="auto"/>
        </w:rPr>
        <w:t xml:space="preserve"> Capital and your Account Representative’s Compensation</w:t>
      </w:r>
    </w:p>
    <w:p w14:paraId="69D2A3D1" w14:textId="56708683" w:rsidR="00D35C9C" w:rsidRDefault="00426440" w:rsidP="004E3AFA">
      <w:pPr>
        <w:pStyle w:val="Default0"/>
        <w:rPr>
          <w:rFonts w:asciiTheme="minorHAnsi" w:eastAsia="Arial" w:hAnsiTheme="minorHAnsi" w:cstheme="minorHAnsi"/>
          <w:color w:val="auto"/>
        </w:rPr>
      </w:pPr>
      <w:r>
        <w:rPr>
          <w:rFonts w:asciiTheme="minorHAnsi" w:eastAsia="Arial" w:hAnsiTheme="minorHAnsi" w:cstheme="minorHAnsi"/>
          <w:color w:val="auto"/>
        </w:rPr>
        <w:t xml:space="preserve">Mutual Fund share class available for purchase in connection with an </w:t>
      </w:r>
      <w:proofErr w:type="spellStart"/>
      <w:r>
        <w:rPr>
          <w:rFonts w:asciiTheme="minorHAnsi" w:eastAsia="Arial" w:hAnsiTheme="minorHAnsi" w:cstheme="minorHAnsi"/>
          <w:color w:val="auto"/>
        </w:rPr>
        <w:t>Arkadios</w:t>
      </w:r>
      <w:proofErr w:type="spellEnd"/>
      <w:r>
        <w:rPr>
          <w:rFonts w:asciiTheme="minorHAnsi" w:eastAsia="Arial" w:hAnsiTheme="minorHAnsi" w:cstheme="minorHAnsi"/>
          <w:color w:val="auto"/>
        </w:rPr>
        <w:t xml:space="preserve"> Capital full-service brokerage relationship are limited to </w:t>
      </w:r>
      <w:r w:rsidR="009E5E64">
        <w:rPr>
          <w:rFonts w:asciiTheme="minorHAnsi" w:eastAsia="Arial" w:hAnsiTheme="minorHAnsi" w:cstheme="minorHAnsi"/>
          <w:color w:val="auto"/>
        </w:rPr>
        <w:t>Class</w:t>
      </w:r>
      <w:r>
        <w:rPr>
          <w:rFonts w:asciiTheme="minorHAnsi" w:eastAsia="Arial" w:hAnsiTheme="minorHAnsi" w:cstheme="minorHAnsi"/>
          <w:color w:val="auto"/>
        </w:rPr>
        <w:t xml:space="preserve"> A shares, Class C shares and other similar share classes which compensate AC and your AC </w:t>
      </w:r>
      <w:r w:rsidR="001227F4">
        <w:rPr>
          <w:rFonts w:asciiTheme="minorHAnsi" w:eastAsia="Arial" w:hAnsiTheme="minorHAnsi" w:cstheme="minorHAnsi"/>
          <w:color w:val="auto"/>
        </w:rPr>
        <w:t xml:space="preserve">account representative.  </w:t>
      </w:r>
      <w:r w:rsidR="00FC10D0">
        <w:rPr>
          <w:rFonts w:asciiTheme="minorHAnsi" w:eastAsia="Arial" w:hAnsiTheme="minorHAnsi" w:cstheme="minorHAnsi"/>
          <w:color w:val="auto"/>
        </w:rPr>
        <w:t xml:space="preserve">12B-1 fees and shareholder service fees charged to the operating expenses of each mutual fund and </w:t>
      </w:r>
      <w:r w:rsidR="00D35C9C">
        <w:rPr>
          <w:rFonts w:asciiTheme="minorHAnsi" w:eastAsia="Arial" w:hAnsiTheme="minorHAnsi" w:cstheme="minorHAnsi"/>
          <w:color w:val="auto"/>
        </w:rPr>
        <w:t xml:space="preserve">are indirectly paid by you through the mutual funds’ internal expense ratio.  These charges increase the mutual funds expenses and correspondingly reduce your investment returns associated with such investments.  </w:t>
      </w:r>
    </w:p>
    <w:p w14:paraId="1205FA84" w14:textId="0A685F1E" w:rsidR="00D35C9C" w:rsidRDefault="00D35C9C" w:rsidP="004E3AFA">
      <w:pPr>
        <w:pStyle w:val="Default0"/>
        <w:rPr>
          <w:rFonts w:asciiTheme="minorHAnsi" w:eastAsia="Arial" w:hAnsiTheme="minorHAnsi" w:cstheme="minorHAnsi"/>
          <w:color w:val="auto"/>
        </w:rPr>
      </w:pPr>
    </w:p>
    <w:p w14:paraId="0E2C3223" w14:textId="60806C34" w:rsidR="00CC7FDB" w:rsidRPr="004F1072" w:rsidRDefault="00D35C9C" w:rsidP="004E3AFA">
      <w:pPr>
        <w:pStyle w:val="Default0"/>
        <w:rPr>
          <w:rFonts w:asciiTheme="minorHAnsi" w:eastAsia="Arial" w:hAnsiTheme="minorHAnsi" w:cstheme="minorHAnsi"/>
          <w:color w:val="auto"/>
        </w:rPr>
      </w:pPr>
      <w:proofErr w:type="spellStart"/>
      <w:r>
        <w:rPr>
          <w:rFonts w:asciiTheme="minorHAnsi" w:eastAsia="Arial" w:hAnsiTheme="minorHAnsi" w:cstheme="minorHAnsi"/>
          <w:color w:val="auto"/>
        </w:rPr>
        <w:t>Arkadios</w:t>
      </w:r>
      <w:proofErr w:type="spellEnd"/>
      <w:r>
        <w:rPr>
          <w:rFonts w:asciiTheme="minorHAnsi" w:eastAsia="Arial" w:hAnsiTheme="minorHAnsi" w:cstheme="minorHAnsi"/>
          <w:color w:val="auto"/>
        </w:rPr>
        <w:t xml:space="preserve"> Capital receives payments for shareholder services, and other services provided to some, but not all, mutual fund families</w:t>
      </w:r>
      <w:r w:rsidR="000E18CF">
        <w:rPr>
          <w:rFonts w:asciiTheme="minorHAnsi" w:eastAsia="Arial" w:hAnsiTheme="minorHAnsi" w:cstheme="minorHAnsi"/>
          <w:color w:val="auto"/>
        </w:rPr>
        <w:t>.</w:t>
      </w:r>
      <w:r>
        <w:rPr>
          <w:rFonts w:asciiTheme="minorHAnsi" w:eastAsia="Arial" w:hAnsiTheme="minorHAnsi" w:cstheme="minorHAnsi"/>
          <w:color w:val="auto"/>
        </w:rPr>
        <w:t xml:space="preserve">  Your AC representative </w:t>
      </w:r>
      <w:proofErr w:type="gramStart"/>
      <w:r>
        <w:rPr>
          <w:rFonts w:asciiTheme="minorHAnsi" w:eastAsia="Arial" w:hAnsiTheme="minorHAnsi" w:cstheme="minorHAnsi"/>
          <w:color w:val="auto"/>
        </w:rPr>
        <w:t>receives</w:t>
      </w:r>
      <w:proofErr w:type="gramEnd"/>
      <w:r>
        <w:rPr>
          <w:rFonts w:asciiTheme="minorHAnsi" w:eastAsia="Arial" w:hAnsiTheme="minorHAnsi" w:cstheme="minorHAnsi"/>
          <w:color w:val="auto"/>
        </w:rPr>
        <w:t xml:space="preserve"> a portion of the compensation received by </w:t>
      </w:r>
      <w:proofErr w:type="spellStart"/>
      <w:r>
        <w:rPr>
          <w:rFonts w:asciiTheme="minorHAnsi" w:eastAsia="Arial" w:hAnsiTheme="minorHAnsi" w:cstheme="minorHAnsi"/>
          <w:color w:val="auto"/>
        </w:rPr>
        <w:t>Arkadios</w:t>
      </w:r>
      <w:proofErr w:type="spellEnd"/>
      <w:r>
        <w:rPr>
          <w:rFonts w:asciiTheme="minorHAnsi" w:eastAsia="Arial" w:hAnsiTheme="minorHAnsi" w:cstheme="minorHAnsi"/>
          <w:color w:val="auto"/>
        </w:rPr>
        <w:t xml:space="preserve"> Capital.  Your AC representative’s</w:t>
      </w:r>
      <w:r w:rsidR="00CC7FDB">
        <w:rPr>
          <w:rFonts w:asciiTheme="minorHAnsi" w:eastAsia="Arial" w:hAnsiTheme="minorHAnsi" w:cstheme="minorHAnsi"/>
          <w:color w:val="auto"/>
        </w:rPr>
        <w:t xml:space="preserve"> compensation is generally based on a compensation </w:t>
      </w:r>
      <w:proofErr w:type="gramStart"/>
      <w:r w:rsidR="00CC7FDB">
        <w:rPr>
          <w:rFonts w:asciiTheme="minorHAnsi" w:eastAsia="Arial" w:hAnsiTheme="minorHAnsi" w:cstheme="minorHAnsi"/>
          <w:color w:val="auto"/>
        </w:rPr>
        <w:t>formula</w:t>
      </w:r>
      <w:proofErr w:type="gramEnd"/>
      <w:r w:rsidR="00CC7FDB">
        <w:rPr>
          <w:rFonts w:asciiTheme="minorHAnsi" w:eastAsia="Arial" w:hAnsiTheme="minorHAnsi" w:cstheme="minorHAnsi"/>
          <w:color w:val="auto"/>
        </w:rPr>
        <w:t xml:space="preserve"> applies to the front-end sales charge described in the fund’s prospectus for A shares, or to the selling fee or sales </w:t>
      </w:r>
      <w:r w:rsidR="00CC7FDB" w:rsidRPr="004F1072">
        <w:rPr>
          <w:rFonts w:asciiTheme="minorHAnsi" w:eastAsia="Arial" w:hAnsiTheme="minorHAnsi" w:cstheme="minorHAnsi"/>
          <w:color w:val="auto"/>
        </w:rPr>
        <w:t>concession for C shares.  The fund family administers these fees/payments.  Ongoing payments on m</w:t>
      </w:r>
      <w:r w:rsidR="005F2B73" w:rsidRPr="004F1072">
        <w:rPr>
          <w:rFonts w:asciiTheme="minorHAnsi" w:eastAsia="Arial" w:hAnsiTheme="minorHAnsi" w:cstheme="minorHAnsi"/>
          <w:color w:val="auto"/>
        </w:rPr>
        <w:t xml:space="preserve">utual funds (known as residuals or trails) that are set by the fund family are also paid to </w:t>
      </w:r>
      <w:r w:rsidR="0067307D" w:rsidRPr="004F1072">
        <w:rPr>
          <w:rFonts w:asciiTheme="minorHAnsi" w:eastAsia="Arial" w:hAnsiTheme="minorHAnsi" w:cstheme="minorHAnsi"/>
          <w:color w:val="auto"/>
        </w:rPr>
        <w:t>AC Representatives.</w:t>
      </w:r>
      <w:r w:rsidR="00692CA4" w:rsidRPr="004F1072">
        <w:rPr>
          <w:rFonts w:asciiTheme="minorHAnsi" w:eastAsia="Arial" w:hAnsiTheme="minorHAnsi" w:cstheme="minorHAnsi"/>
          <w:color w:val="auto"/>
        </w:rPr>
        <w:t xml:space="preserve">  </w:t>
      </w:r>
      <w:proofErr w:type="spellStart"/>
      <w:r w:rsidR="00692CA4" w:rsidRPr="004F1072">
        <w:rPr>
          <w:rFonts w:asciiTheme="minorHAnsi" w:eastAsia="Arial" w:hAnsiTheme="minorHAnsi" w:cstheme="minorHAnsi"/>
          <w:color w:val="auto"/>
        </w:rPr>
        <w:t>Arkadios</w:t>
      </w:r>
      <w:proofErr w:type="spellEnd"/>
      <w:r w:rsidR="00692CA4" w:rsidRPr="004F1072">
        <w:rPr>
          <w:rFonts w:asciiTheme="minorHAnsi" w:eastAsia="Arial" w:hAnsiTheme="minorHAnsi" w:cstheme="minorHAnsi"/>
          <w:color w:val="auto"/>
        </w:rPr>
        <w:t xml:space="preserve"> Capital does not accept </w:t>
      </w:r>
      <w:r w:rsidR="004B5106" w:rsidRPr="004F1072">
        <w:rPr>
          <w:rFonts w:asciiTheme="minorHAnsi" w:eastAsia="Arial" w:hAnsiTheme="minorHAnsi" w:cstheme="minorHAnsi"/>
          <w:color w:val="auto"/>
        </w:rPr>
        <w:t xml:space="preserve">12B-1 fees on qualified accounts (retirement </w:t>
      </w:r>
      <w:r w:rsidR="001C02A1" w:rsidRPr="004F1072">
        <w:rPr>
          <w:rFonts w:asciiTheme="minorHAnsi" w:eastAsia="Arial" w:hAnsiTheme="minorHAnsi" w:cstheme="minorHAnsi"/>
          <w:color w:val="auto"/>
        </w:rPr>
        <w:t>accounts)</w:t>
      </w:r>
      <w:r w:rsidR="004B5106" w:rsidRPr="004F1072">
        <w:rPr>
          <w:rFonts w:asciiTheme="minorHAnsi" w:eastAsia="Arial" w:hAnsiTheme="minorHAnsi" w:cstheme="minorHAnsi"/>
          <w:color w:val="auto"/>
        </w:rPr>
        <w:t>.  The 12B-1 fees received on retirement accounts by AC are credited back to each client’s retirement plan.</w:t>
      </w:r>
    </w:p>
    <w:p w14:paraId="37426C18" w14:textId="0A39AE09" w:rsidR="0067307D" w:rsidRPr="004F1072" w:rsidRDefault="0067307D" w:rsidP="004E3AFA">
      <w:pPr>
        <w:pStyle w:val="Default0"/>
        <w:rPr>
          <w:rFonts w:asciiTheme="minorHAnsi" w:eastAsia="Arial" w:hAnsiTheme="minorHAnsi" w:cstheme="minorHAnsi"/>
          <w:color w:val="auto"/>
        </w:rPr>
      </w:pPr>
    </w:p>
    <w:p w14:paraId="61D65686" w14:textId="0394BC64" w:rsidR="0067307D" w:rsidRPr="004F1072" w:rsidRDefault="0067307D" w:rsidP="004E3AFA">
      <w:pPr>
        <w:pStyle w:val="Default0"/>
        <w:rPr>
          <w:rFonts w:asciiTheme="minorHAnsi" w:eastAsia="Arial" w:hAnsiTheme="minorHAnsi" w:cstheme="minorHAnsi"/>
          <w:b/>
          <w:bCs/>
          <w:color w:val="auto"/>
        </w:rPr>
      </w:pPr>
      <w:r w:rsidRPr="004F1072">
        <w:rPr>
          <w:rFonts w:asciiTheme="minorHAnsi" w:eastAsia="Arial" w:hAnsiTheme="minorHAnsi" w:cstheme="minorHAnsi"/>
          <w:b/>
          <w:bCs/>
          <w:color w:val="auto"/>
        </w:rPr>
        <w:t>Conflicts of Interest Related to Mutual Funds</w:t>
      </w:r>
    </w:p>
    <w:p w14:paraId="7C0C088A" w14:textId="71CF9211" w:rsidR="0067307D" w:rsidRDefault="0067307D" w:rsidP="004E3AFA">
      <w:pPr>
        <w:pStyle w:val="Default0"/>
        <w:rPr>
          <w:rFonts w:asciiTheme="minorHAnsi" w:eastAsia="Arial" w:hAnsiTheme="minorHAnsi" w:cstheme="minorHAnsi"/>
          <w:color w:val="auto"/>
        </w:rPr>
      </w:pPr>
      <w:r w:rsidRPr="004F1072">
        <w:rPr>
          <w:rFonts w:asciiTheme="minorHAnsi" w:eastAsia="Arial" w:hAnsiTheme="minorHAnsi" w:cstheme="minorHAnsi"/>
          <w:color w:val="auto"/>
        </w:rPr>
        <w:t xml:space="preserve">The compensation </w:t>
      </w:r>
      <w:proofErr w:type="spellStart"/>
      <w:r w:rsidRPr="004F1072">
        <w:rPr>
          <w:rFonts w:asciiTheme="minorHAnsi" w:eastAsia="Arial" w:hAnsiTheme="minorHAnsi" w:cstheme="minorHAnsi"/>
          <w:color w:val="auto"/>
        </w:rPr>
        <w:t>Arkadios</w:t>
      </w:r>
      <w:proofErr w:type="spellEnd"/>
      <w:r w:rsidRPr="004F1072">
        <w:rPr>
          <w:rFonts w:asciiTheme="minorHAnsi" w:eastAsia="Arial" w:hAnsiTheme="minorHAnsi" w:cstheme="minorHAnsi"/>
          <w:color w:val="auto"/>
        </w:rPr>
        <w:t xml:space="preserve"> Capital and its Representatives receive in connection with brokerage account investments </w:t>
      </w:r>
      <w:r w:rsidR="005A5C90" w:rsidRPr="004F1072">
        <w:rPr>
          <w:rFonts w:asciiTheme="minorHAnsi" w:eastAsia="Arial" w:hAnsiTheme="minorHAnsi" w:cstheme="minorHAnsi"/>
          <w:color w:val="auto"/>
        </w:rPr>
        <w:t xml:space="preserve">in </w:t>
      </w:r>
      <w:r w:rsidRPr="004F1072">
        <w:rPr>
          <w:rFonts w:asciiTheme="minorHAnsi" w:eastAsia="Arial" w:hAnsiTheme="minorHAnsi" w:cstheme="minorHAnsi"/>
          <w:color w:val="auto"/>
        </w:rPr>
        <w:t xml:space="preserve">certain mutual funds </w:t>
      </w:r>
      <w:r>
        <w:rPr>
          <w:rFonts w:asciiTheme="minorHAnsi" w:eastAsia="Arial" w:hAnsiTheme="minorHAnsi" w:cstheme="minorHAnsi"/>
          <w:color w:val="auto"/>
        </w:rPr>
        <w:t xml:space="preserve">and share classes creates a conflict of interest and incentive for AC to not offer certain mutual funds and share classes to its clients which do not offer similar compensation to AC.  AC mitigates this conflict of interest by disclosing it to its </w:t>
      </w:r>
      <w:proofErr w:type="gramStart"/>
      <w:r w:rsidR="005A5C90">
        <w:rPr>
          <w:rFonts w:asciiTheme="minorHAnsi" w:eastAsia="Arial" w:hAnsiTheme="minorHAnsi" w:cstheme="minorHAnsi"/>
          <w:color w:val="auto"/>
        </w:rPr>
        <w:t xml:space="preserve">clients, </w:t>
      </w:r>
      <w:r>
        <w:rPr>
          <w:rFonts w:asciiTheme="minorHAnsi" w:eastAsia="Arial" w:hAnsiTheme="minorHAnsi" w:cstheme="minorHAnsi"/>
          <w:color w:val="auto"/>
        </w:rPr>
        <w:t>but</w:t>
      </w:r>
      <w:proofErr w:type="gramEnd"/>
      <w:r>
        <w:rPr>
          <w:rFonts w:asciiTheme="minorHAnsi" w:eastAsia="Arial" w:hAnsiTheme="minorHAnsi" w:cstheme="minorHAnsi"/>
          <w:color w:val="auto"/>
        </w:rPr>
        <w:t xml:space="preserve"> cannot eliminate this conflict as it is inherent in the </w:t>
      </w:r>
      <w:r w:rsidR="005A5C90">
        <w:rPr>
          <w:rFonts w:asciiTheme="minorHAnsi" w:eastAsia="Arial" w:hAnsiTheme="minorHAnsi" w:cstheme="minorHAnsi"/>
          <w:color w:val="auto"/>
        </w:rPr>
        <w:t>business</w:t>
      </w:r>
      <w:r>
        <w:rPr>
          <w:rFonts w:asciiTheme="minorHAnsi" w:eastAsia="Arial" w:hAnsiTheme="minorHAnsi" w:cstheme="minorHAnsi"/>
          <w:color w:val="auto"/>
        </w:rPr>
        <w:t xml:space="preserve"> model of a typical </w:t>
      </w:r>
      <w:r w:rsidR="005A5C90">
        <w:rPr>
          <w:rFonts w:asciiTheme="minorHAnsi" w:eastAsia="Arial" w:hAnsiTheme="minorHAnsi" w:cstheme="minorHAnsi"/>
          <w:color w:val="auto"/>
        </w:rPr>
        <w:t>securities</w:t>
      </w:r>
      <w:r>
        <w:rPr>
          <w:rFonts w:asciiTheme="minorHAnsi" w:eastAsia="Arial" w:hAnsiTheme="minorHAnsi" w:cstheme="minorHAnsi"/>
          <w:color w:val="auto"/>
        </w:rPr>
        <w:t xml:space="preserve"> broker/dealer</w:t>
      </w:r>
      <w:r w:rsidR="005A5C90">
        <w:rPr>
          <w:rFonts w:asciiTheme="minorHAnsi" w:eastAsia="Arial" w:hAnsiTheme="minorHAnsi" w:cstheme="minorHAnsi"/>
          <w:color w:val="auto"/>
        </w:rPr>
        <w:t xml:space="preserve"> to be compensated in connection with its mutual fund distribution and brokerage services.  Except with respect to purchases of share classes which do not compensate NFS and/or AC for distribution expenses, AC does not charge a transaction fee or commission in connection with mutual fund investments.</w:t>
      </w:r>
    </w:p>
    <w:p w14:paraId="4323860B" w14:textId="44DA352E" w:rsidR="00033564" w:rsidRDefault="00033564" w:rsidP="004E3AFA">
      <w:pPr>
        <w:pStyle w:val="Default0"/>
        <w:rPr>
          <w:rFonts w:asciiTheme="minorHAnsi" w:eastAsia="Arial" w:hAnsiTheme="minorHAnsi" w:cstheme="minorHAnsi"/>
          <w:color w:val="auto"/>
        </w:rPr>
      </w:pPr>
    </w:p>
    <w:p w14:paraId="0236EFBF" w14:textId="3832D1D2" w:rsidR="00033564" w:rsidRPr="00C06753" w:rsidRDefault="00033564" w:rsidP="004E3AFA">
      <w:pPr>
        <w:pStyle w:val="Default0"/>
        <w:rPr>
          <w:rFonts w:asciiTheme="minorHAnsi" w:eastAsia="Arial" w:hAnsiTheme="minorHAnsi" w:cstheme="minorHAnsi"/>
          <w:b/>
          <w:bCs/>
          <w:color w:val="auto"/>
        </w:rPr>
      </w:pPr>
      <w:proofErr w:type="spellStart"/>
      <w:r w:rsidRPr="00C06753">
        <w:rPr>
          <w:rFonts w:asciiTheme="minorHAnsi" w:eastAsia="Arial" w:hAnsiTheme="minorHAnsi" w:cstheme="minorHAnsi"/>
          <w:b/>
          <w:bCs/>
          <w:color w:val="auto"/>
        </w:rPr>
        <w:t>A</w:t>
      </w:r>
      <w:r w:rsidR="00C06753">
        <w:rPr>
          <w:rFonts w:asciiTheme="minorHAnsi" w:eastAsia="Arial" w:hAnsiTheme="minorHAnsi" w:cstheme="minorHAnsi"/>
          <w:b/>
          <w:bCs/>
          <w:color w:val="auto"/>
        </w:rPr>
        <w:t>rkadios</w:t>
      </w:r>
      <w:proofErr w:type="spellEnd"/>
      <w:r w:rsidR="00C06753">
        <w:rPr>
          <w:rFonts w:asciiTheme="minorHAnsi" w:eastAsia="Arial" w:hAnsiTheme="minorHAnsi" w:cstheme="minorHAnsi"/>
          <w:b/>
          <w:bCs/>
          <w:color w:val="auto"/>
        </w:rPr>
        <w:t xml:space="preserve"> Wealth Advisors</w:t>
      </w:r>
      <w:r w:rsidRPr="00C06753">
        <w:rPr>
          <w:rFonts w:asciiTheme="minorHAnsi" w:eastAsia="Arial" w:hAnsiTheme="minorHAnsi" w:cstheme="minorHAnsi"/>
          <w:b/>
          <w:bCs/>
          <w:color w:val="auto"/>
        </w:rPr>
        <w:t xml:space="preserve"> Investment Advisory Accounts</w:t>
      </w:r>
    </w:p>
    <w:p w14:paraId="3D9F5410" w14:textId="10F90C72" w:rsidR="00033564" w:rsidRDefault="00033564" w:rsidP="004E3AFA">
      <w:pPr>
        <w:pStyle w:val="Default0"/>
        <w:rPr>
          <w:rFonts w:asciiTheme="minorHAnsi" w:eastAsia="Arial" w:hAnsiTheme="minorHAnsi" w:cstheme="minorHAnsi"/>
          <w:color w:val="auto"/>
        </w:rPr>
      </w:pPr>
      <w:r>
        <w:rPr>
          <w:rFonts w:asciiTheme="minorHAnsi" w:eastAsia="Arial" w:hAnsiTheme="minorHAnsi" w:cstheme="minorHAnsi"/>
          <w:color w:val="auto"/>
        </w:rPr>
        <w:t xml:space="preserve">In the case of </w:t>
      </w:r>
      <w:r w:rsidR="00C06753">
        <w:rPr>
          <w:rFonts w:asciiTheme="minorHAnsi" w:eastAsia="Arial" w:hAnsiTheme="minorHAnsi" w:cstheme="minorHAnsi"/>
          <w:color w:val="auto"/>
        </w:rPr>
        <w:t>Investment</w:t>
      </w:r>
      <w:r>
        <w:rPr>
          <w:rFonts w:asciiTheme="minorHAnsi" w:eastAsia="Arial" w:hAnsiTheme="minorHAnsi" w:cstheme="minorHAnsi"/>
          <w:color w:val="auto"/>
        </w:rPr>
        <w:t xml:space="preserve"> Advisory </w:t>
      </w:r>
      <w:r w:rsidR="00C06753">
        <w:rPr>
          <w:rFonts w:asciiTheme="minorHAnsi" w:eastAsia="Arial" w:hAnsiTheme="minorHAnsi" w:cstheme="minorHAnsi"/>
          <w:color w:val="auto"/>
        </w:rPr>
        <w:t>Accounts</w:t>
      </w:r>
      <w:r>
        <w:rPr>
          <w:rFonts w:asciiTheme="minorHAnsi" w:eastAsia="Arial" w:hAnsiTheme="minorHAnsi" w:cstheme="minorHAnsi"/>
          <w:color w:val="auto"/>
        </w:rPr>
        <w:t xml:space="preserve"> managed by AWA, where available </w:t>
      </w:r>
      <w:r w:rsidR="00B679C1">
        <w:rPr>
          <w:rFonts w:asciiTheme="minorHAnsi" w:eastAsia="Arial" w:hAnsiTheme="minorHAnsi" w:cstheme="minorHAnsi"/>
          <w:color w:val="auto"/>
        </w:rPr>
        <w:t>to</w:t>
      </w:r>
      <w:r>
        <w:rPr>
          <w:rFonts w:asciiTheme="minorHAnsi" w:eastAsia="Arial" w:hAnsiTheme="minorHAnsi" w:cstheme="minorHAnsi"/>
          <w:color w:val="auto"/>
        </w:rPr>
        <w:t xml:space="preserve"> AWA</w:t>
      </w:r>
      <w:r w:rsidR="00222E76">
        <w:rPr>
          <w:rFonts w:asciiTheme="minorHAnsi" w:eastAsia="Arial" w:hAnsiTheme="minorHAnsi" w:cstheme="minorHAnsi"/>
          <w:color w:val="auto"/>
        </w:rPr>
        <w:t xml:space="preserve"> </w:t>
      </w:r>
      <w:r w:rsidR="00C06753">
        <w:rPr>
          <w:rFonts w:asciiTheme="minorHAnsi" w:eastAsia="Arial" w:hAnsiTheme="minorHAnsi" w:cstheme="minorHAnsi"/>
          <w:color w:val="auto"/>
        </w:rPr>
        <w:t>clients</w:t>
      </w:r>
      <w:r>
        <w:rPr>
          <w:rFonts w:asciiTheme="minorHAnsi" w:eastAsia="Arial" w:hAnsiTheme="minorHAnsi" w:cstheme="minorHAnsi"/>
          <w:color w:val="auto"/>
        </w:rPr>
        <w:t xml:space="preserve"> on the AC platform, accounts held in AC brokerage accounts are invested in institutional share classes which do not pay AC sales loads or ongoing 12b-1 fees. In the event</w:t>
      </w:r>
      <w:r w:rsidR="00A74B92">
        <w:rPr>
          <w:rFonts w:asciiTheme="minorHAnsi" w:eastAsia="Arial" w:hAnsiTheme="minorHAnsi" w:cstheme="minorHAnsi"/>
          <w:color w:val="auto"/>
        </w:rPr>
        <w:t xml:space="preserve"> non-12b-1 share classes of </w:t>
      </w:r>
      <w:r w:rsidR="00C06753">
        <w:rPr>
          <w:rFonts w:asciiTheme="minorHAnsi" w:eastAsia="Arial" w:hAnsiTheme="minorHAnsi" w:cstheme="minorHAnsi"/>
          <w:color w:val="auto"/>
        </w:rPr>
        <w:t>applicable</w:t>
      </w:r>
      <w:r w:rsidR="00A74B92">
        <w:rPr>
          <w:rFonts w:asciiTheme="minorHAnsi" w:eastAsia="Arial" w:hAnsiTheme="minorHAnsi" w:cstheme="minorHAnsi"/>
          <w:color w:val="auto"/>
        </w:rPr>
        <w:t xml:space="preserve"> mutual funds are not </w:t>
      </w:r>
      <w:r w:rsidR="00C06753">
        <w:rPr>
          <w:rFonts w:asciiTheme="minorHAnsi" w:eastAsia="Arial" w:hAnsiTheme="minorHAnsi" w:cstheme="minorHAnsi"/>
          <w:color w:val="auto"/>
        </w:rPr>
        <w:t>available</w:t>
      </w:r>
      <w:r w:rsidR="00A74B92">
        <w:rPr>
          <w:rFonts w:asciiTheme="minorHAnsi" w:eastAsia="Arial" w:hAnsiTheme="minorHAnsi" w:cstheme="minorHAnsi"/>
          <w:color w:val="auto"/>
        </w:rPr>
        <w:t xml:space="preserve">, AC credits the affected customer accounts with any 12b-1 fees receives in connection with AWA investment advisory accounts. </w:t>
      </w:r>
    </w:p>
    <w:p w14:paraId="0BEC079B" w14:textId="78EC86CB" w:rsidR="00C06753" w:rsidRDefault="00C06753" w:rsidP="004E3AFA">
      <w:pPr>
        <w:pStyle w:val="Default0"/>
        <w:rPr>
          <w:rFonts w:asciiTheme="minorHAnsi" w:eastAsia="Arial" w:hAnsiTheme="minorHAnsi" w:cstheme="minorHAnsi"/>
          <w:color w:val="auto"/>
        </w:rPr>
      </w:pPr>
    </w:p>
    <w:p w14:paraId="101B91D3" w14:textId="7D04A112" w:rsidR="00193633" w:rsidRPr="00271EBB" w:rsidRDefault="00C6512A" w:rsidP="00B219B9">
      <w:pPr>
        <w:pStyle w:val="Default0"/>
        <w:rPr>
          <w:rFonts w:asciiTheme="minorHAnsi" w:eastAsia="Arial" w:hAnsiTheme="minorHAnsi" w:cstheme="minorHAnsi"/>
          <w:b/>
          <w:bCs/>
          <w:color w:val="auto"/>
        </w:rPr>
      </w:pPr>
      <w:r w:rsidRPr="00271EBB">
        <w:rPr>
          <w:rFonts w:asciiTheme="minorHAnsi" w:eastAsia="Arial" w:hAnsiTheme="minorHAnsi" w:cstheme="minorHAnsi"/>
          <w:b/>
          <w:bCs/>
          <w:color w:val="auto"/>
        </w:rPr>
        <w:t xml:space="preserve">Exchange </w:t>
      </w:r>
      <w:r w:rsidR="00B219B9" w:rsidRPr="00271EBB">
        <w:rPr>
          <w:rFonts w:asciiTheme="minorHAnsi" w:eastAsia="Arial" w:hAnsiTheme="minorHAnsi" w:cstheme="minorHAnsi"/>
          <w:b/>
          <w:bCs/>
          <w:color w:val="auto"/>
        </w:rPr>
        <w:t>of</w:t>
      </w:r>
      <w:r w:rsidRPr="00271EBB">
        <w:rPr>
          <w:rFonts w:asciiTheme="minorHAnsi" w:eastAsia="Arial" w:hAnsiTheme="minorHAnsi" w:cstheme="minorHAnsi"/>
          <w:b/>
          <w:bCs/>
          <w:color w:val="auto"/>
        </w:rPr>
        <w:t xml:space="preserve"> </w:t>
      </w:r>
      <w:r w:rsidR="00B219B9" w:rsidRPr="00271EBB">
        <w:rPr>
          <w:rFonts w:asciiTheme="minorHAnsi" w:eastAsia="Arial" w:hAnsiTheme="minorHAnsi" w:cstheme="minorHAnsi"/>
          <w:b/>
          <w:bCs/>
          <w:color w:val="auto"/>
        </w:rPr>
        <w:t>Institutional</w:t>
      </w:r>
      <w:r w:rsidRPr="00271EBB">
        <w:rPr>
          <w:rFonts w:asciiTheme="minorHAnsi" w:eastAsia="Arial" w:hAnsiTheme="minorHAnsi" w:cstheme="minorHAnsi"/>
          <w:b/>
          <w:bCs/>
          <w:color w:val="auto"/>
        </w:rPr>
        <w:t xml:space="preserve"> </w:t>
      </w:r>
      <w:r w:rsidR="00B219B9" w:rsidRPr="00271EBB">
        <w:rPr>
          <w:rFonts w:asciiTheme="minorHAnsi" w:eastAsia="Arial" w:hAnsiTheme="minorHAnsi" w:cstheme="minorHAnsi"/>
          <w:b/>
          <w:bCs/>
          <w:color w:val="auto"/>
        </w:rPr>
        <w:t>Class</w:t>
      </w:r>
      <w:r w:rsidRPr="00271EBB">
        <w:rPr>
          <w:rFonts w:asciiTheme="minorHAnsi" w:eastAsia="Arial" w:hAnsiTheme="minorHAnsi" w:cstheme="minorHAnsi"/>
          <w:b/>
          <w:bCs/>
          <w:color w:val="auto"/>
        </w:rPr>
        <w:t xml:space="preserve"> other Lower Cost of Mutual Funds Shares for Class A</w:t>
      </w:r>
      <w:r w:rsidR="00D27B64" w:rsidRPr="00271EBB">
        <w:rPr>
          <w:rFonts w:asciiTheme="minorHAnsi" w:eastAsia="Arial" w:hAnsiTheme="minorHAnsi" w:cstheme="minorHAnsi"/>
          <w:b/>
          <w:bCs/>
          <w:color w:val="auto"/>
        </w:rPr>
        <w:t xml:space="preserve">, </w:t>
      </w:r>
      <w:r w:rsidR="00B219B9" w:rsidRPr="00271EBB">
        <w:rPr>
          <w:rFonts w:asciiTheme="minorHAnsi" w:eastAsia="Arial" w:hAnsiTheme="minorHAnsi" w:cstheme="minorHAnsi"/>
          <w:b/>
          <w:bCs/>
          <w:color w:val="auto"/>
        </w:rPr>
        <w:t>Class</w:t>
      </w:r>
      <w:r w:rsidR="00D27B64" w:rsidRPr="00271EBB">
        <w:rPr>
          <w:rFonts w:asciiTheme="minorHAnsi" w:eastAsia="Arial" w:hAnsiTheme="minorHAnsi" w:cstheme="minorHAnsi"/>
          <w:b/>
          <w:bCs/>
          <w:color w:val="auto"/>
        </w:rPr>
        <w:t xml:space="preserve"> C or Similar Share Classes upon Charge in your Relationship with</w:t>
      </w:r>
      <w:bookmarkStart w:id="4" w:name="_Toc32246223"/>
      <w:r w:rsidR="00B219B9" w:rsidRPr="00271EBB">
        <w:rPr>
          <w:rFonts w:asciiTheme="minorHAnsi" w:eastAsia="Arial" w:hAnsiTheme="minorHAnsi" w:cstheme="minorHAnsi"/>
          <w:b/>
          <w:bCs/>
          <w:color w:val="auto"/>
        </w:rPr>
        <w:t xml:space="preserve"> AC or AWA</w:t>
      </w:r>
    </w:p>
    <w:p w14:paraId="35A41CDC" w14:textId="720B184F" w:rsidR="006A7144" w:rsidRDefault="006A7144" w:rsidP="00B219B9">
      <w:pPr>
        <w:pStyle w:val="Default0"/>
        <w:rPr>
          <w:rFonts w:asciiTheme="minorHAnsi" w:eastAsia="Arial" w:hAnsiTheme="minorHAnsi" w:cstheme="minorHAnsi"/>
          <w:color w:val="auto"/>
        </w:rPr>
      </w:pPr>
      <w:r>
        <w:rPr>
          <w:rFonts w:asciiTheme="minorHAnsi" w:eastAsia="Arial" w:hAnsiTheme="minorHAnsi" w:cstheme="minorHAnsi"/>
          <w:color w:val="auto"/>
        </w:rPr>
        <w:t xml:space="preserve">AC brokerage accounts and AWA Investment Advisory Programs provide you with access to mutual fund share classes that </w:t>
      </w:r>
      <w:r w:rsidR="00271EBB">
        <w:rPr>
          <w:rFonts w:asciiTheme="minorHAnsi" w:eastAsia="Arial" w:hAnsiTheme="minorHAnsi" w:cstheme="minorHAnsi"/>
          <w:color w:val="auto"/>
        </w:rPr>
        <w:t xml:space="preserve">may </w:t>
      </w:r>
      <w:r>
        <w:rPr>
          <w:rFonts w:asciiTheme="minorHAnsi" w:eastAsia="Arial" w:hAnsiTheme="minorHAnsi" w:cstheme="minorHAnsi"/>
          <w:color w:val="auto"/>
        </w:rPr>
        <w:t>not</w:t>
      </w:r>
      <w:r w:rsidR="00271EBB">
        <w:rPr>
          <w:rFonts w:asciiTheme="minorHAnsi" w:eastAsia="Arial" w:hAnsiTheme="minorHAnsi" w:cstheme="minorHAnsi"/>
          <w:color w:val="auto"/>
        </w:rPr>
        <w:t xml:space="preserve"> be</w:t>
      </w:r>
      <w:r>
        <w:rPr>
          <w:rFonts w:asciiTheme="minorHAnsi" w:eastAsia="Arial" w:hAnsiTheme="minorHAnsi" w:cstheme="minorHAnsi"/>
          <w:color w:val="auto"/>
        </w:rPr>
        <w:t xml:space="preserve"> available for purchase </w:t>
      </w:r>
      <w:r w:rsidR="00271EBB">
        <w:rPr>
          <w:rFonts w:asciiTheme="minorHAnsi" w:eastAsia="Arial" w:hAnsiTheme="minorHAnsi" w:cstheme="minorHAnsi"/>
          <w:color w:val="auto"/>
        </w:rPr>
        <w:t>in each</w:t>
      </w:r>
      <w:r>
        <w:rPr>
          <w:rFonts w:asciiTheme="minorHAnsi" w:eastAsia="Arial" w:hAnsiTheme="minorHAnsi" w:cstheme="minorHAnsi"/>
          <w:color w:val="auto"/>
        </w:rPr>
        <w:t xml:space="preserve"> account.  In the event,</w:t>
      </w:r>
      <w:r w:rsidR="000844F2">
        <w:rPr>
          <w:rFonts w:asciiTheme="minorHAnsi" w:eastAsia="Arial" w:hAnsiTheme="minorHAnsi" w:cstheme="minorHAnsi"/>
          <w:color w:val="auto"/>
        </w:rPr>
        <w:t xml:space="preserve"> (1)</w:t>
      </w:r>
      <w:r>
        <w:rPr>
          <w:rFonts w:asciiTheme="minorHAnsi" w:eastAsia="Arial" w:hAnsiTheme="minorHAnsi" w:cstheme="minorHAnsi"/>
          <w:color w:val="auto"/>
        </w:rPr>
        <w:t xml:space="preserve"> </w:t>
      </w:r>
      <w:r w:rsidR="007A6A1B">
        <w:rPr>
          <w:rFonts w:asciiTheme="minorHAnsi" w:eastAsia="Arial" w:hAnsiTheme="minorHAnsi" w:cstheme="minorHAnsi"/>
          <w:color w:val="auto"/>
        </w:rPr>
        <w:t>your investment advisory agreement with our affiliate, AWA</w:t>
      </w:r>
      <w:r w:rsidR="00222E76">
        <w:rPr>
          <w:rFonts w:asciiTheme="minorHAnsi" w:eastAsia="Arial" w:hAnsiTheme="minorHAnsi" w:cstheme="minorHAnsi"/>
          <w:color w:val="auto"/>
        </w:rPr>
        <w:t xml:space="preserve"> </w:t>
      </w:r>
      <w:r w:rsidR="00B679C1">
        <w:rPr>
          <w:rFonts w:asciiTheme="minorHAnsi" w:eastAsia="Arial" w:hAnsiTheme="minorHAnsi" w:cstheme="minorHAnsi"/>
          <w:color w:val="auto"/>
        </w:rPr>
        <w:t>,</w:t>
      </w:r>
      <w:r w:rsidR="007A6A1B">
        <w:rPr>
          <w:rFonts w:asciiTheme="minorHAnsi" w:eastAsia="Arial" w:hAnsiTheme="minorHAnsi" w:cstheme="minorHAnsi"/>
          <w:color w:val="auto"/>
        </w:rPr>
        <w:t xml:space="preserve"> governing your asset-based investment advisory fee program account with AWA is terminated </w:t>
      </w:r>
      <w:r w:rsidR="00271EBB">
        <w:rPr>
          <w:rFonts w:asciiTheme="minorHAnsi" w:eastAsia="Arial" w:hAnsiTheme="minorHAnsi" w:cstheme="minorHAnsi"/>
          <w:color w:val="auto"/>
        </w:rPr>
        <w:t xml:space="preserve">and you transition your holdings to a </w:t>
      </w:r>
      <w:r w:rsidR="000844F2">
        <w:rPr>
          <w:rFonts w:asciiTheme="minorHAnsi" w:eastAsia="Arial" w:hAnsiTheme="minorHAnsi" w:cstheme="minorHAnsi"/>
          <w:color w:val="auto"/>
        </w:rPr>
        <w:t xml:space="preserve">full service </w:t>
      </w:r>
      <w:r w:rsidR="00271EBB">
        <w:rPr>
          <w:rFonts w:asciiTheme="minorHAnsi" w:eastAsia="Arial" w:hAnsiTheme="minorHAnsi" w:cstheme="minorHAnsi"/>
          <w:color w:val="auto"/>
        </w:rPr>
        <w:t xml:space="preserve">brokerage account, </w:t>
      </w:r>
      <w:r w:rsidR="00FE50D8">
        <w:rPr>
          <w:rFonts w:asciiTheme="minorHAnsi" w:eastAsia="Arial" w:hAnsiTheme="minorHAnsi" w:cstheme="minorHAnsi"/>
          <w:color w:val="auto"/>
        </w:rPr>
        <w:t xml:space="preserve">AC has the right, in its sole discretion, and without prior notice to you, to exchange your </w:t>
      </w:r>
      <w:r w:rsidR="00943CA0">
        <w:rPr>
          <w:rFonts w:asciiTheme="minorHAnsi" w:eastAsia="Arial" w:hAnsiTheme="minorHAnsi" w:cstheme="minorHAnsi"/>
          <w:color w:val="auto"/>
        </w:rPr>
        <w:t xml:space="preserve">advisory class shares to </w:t>
      </w:r>
      <w:r w:rsidR="00FE50D8">
        <w:rPr>
          <w:rFonts w:asciiTheme="minorHAnsi" w:eastAsia="Arial" w:hAnsiTheme="minorHAnsi" w:cstheme="minorHAnsi"/>
          <w:color w:val="auto"/>
        </w:rPr>
        <w:t xml:space="preserve">brokerage account </w:t>
      </w:r>
      <w:r w:rsidR="00943CA0">
        <w:rPr>
          <w:rFonts w:asciiTheme="minorHAnsi" w:eastAsia="Arial" w:hAnsiTheme="minorHAnsi" w:cstheme="minorHAnsi"/>
          <w:color w:val="auto"/>
        </w:rPr>
        <w:t>mutual</w:t>
      </w:r>
      <w:r w:rsidR="00FE50D8">
        <w:rPr>
          <w:rFonts w:asciiTheme="minorHAnsi" w:eastAsia="Arial" w:hAnsiTheme="minorHAnsi" w:cstheme="minorHAnsi"/>
          <w:color w:val="auto"/>
        </w:rPr>
        <w:t xml:space="preserve"> fund shares </w:t>
      </w:r>
      <w:r w:rsidR="00943CA0">
        <w:rPr>
          <w:rFonts w:asciiTheme="minorHAnsi" w:eastAsia="Arial" w:hAnsiTheme="minorHAnsi" w:cstheme="minorHAnsi"/>
          <w:color w:val="auto"/>
        </w:rPr>
        <w:t xml:space="preserve">due to advisory shares are ineligible share classes in brokerage accounts.  </w:t>
      </w:r>
    </w:p>
    <w:p w14:paraId="68547FF6" w14:textId="0CBDF40F" w:rsidR="008A7C13" w:rsidRDefault="008A7C13" w:rsidP="00B219B9">
      <w:pPr>
        <w:pStyle w:val="Default0"/>
        <w:rPr>
          <w:rFonts w:asciiTheme="minorHAnsi" w:eastAsia="Arial" w:hAnsiTheme="minorHAnsi" w:cstheme="minorHAnsi"/>
          <w:color w:val="auto"/>
        </w:rPr>
      </w:pPr>
    </w:p>
    <w:p w14:paraId="6D5FD030" w14:textId="77777777" w:rsidR="007616EE" w:rsidRDefault="007616EE" w:rsidP="00B219B9">
      <w:pPr>
        <w:pStyle w:val="Default0"/>
        <w:rPr>
          <w:rFonts w:asciiTheme="minorHAnsi" w:eastAsia="Arial" w:hAnsiTheme="minorHAnsi" w:cstheme="minorHAnsi"/>
          <w:color w:val="auto"/>
        </w:rPr>
      </w:pPr>
    </w:p>
    <w:p w14:paraId="684046E6" w14:textId="1DF8D067" w:rsidR="003E4455" w:rsidRDefault="004A3212" w:rsidP="00B219B9">
      <w:pPr>
        <w:pStyle w:val="Default0"/>
        <w:rPr>
          <w:rFonts w:asciiTheme="minorHAnsi" w:hAnsiTheme="minorHAnsi" w:cstheme="minorHAnsi"/>
        </w:rPr>
      </w:pPr>
      <w:r>
        <w:rPr>
          <w:rFonts w:asciiTheme="minorHAnsi" w:eastAsia="Arial" w:hAnsiTheme="minorHAnsi" w:cstheme="minorHAnsi"/>
          <w:color w:val="auto"/>
        </w:rPr>
        <w:t>Eligible</w:t>
      </w:r>
      <w:r w:rsidR="008A7C13">
        <w:rPr>
          <w:rFonts w:asciiTheme="minorHAnsi" w:eastAsia="Arial" w:hAnsiTheme="minorHAnsi" w:cstheme="minorHAnsi"/>
          <w:color w:val="auto"/>
        </w:rPr>
        <w:t xml:space="preserve"> share classes have different and generally higher expenses </w:t>
      </w:r>
      <w:r w:rsidR="00227592">
        <w:rPr>
          <w:rFonts w:asciiTheme="minorHAnsi" w:eastAsia="Arial" w:hAnsiTheme="minorHAnsi" w:cstheme="minorHAnsi"/>
          <w:color w:val="auto"/>
        </w:rPr>
        <w:t>than ineligible share classes. While any such exchange will not be a taxable event and will not be subject to sales loads</w:t>
      </w:r>
      <w:r>
        <w:rPr>
          <w:rFonts w:asciiTheme="minorHAnsi" w:eastAsia="Arial" w:hAnsiTheme="minorHAnsi" w:cstheme="minorHAnsi"/>
          <w:color w:val="auto"/>
        </w:rPr>
        <w:t xml:space="preserve"> or commissions, all future purchase transactions in the applicable fund will be </w:t>
      </w:r>
      <w:r w:rsidR="006E69C6">
        <w:rPr>
          <w:rFonts w:asciiTheme="minorHAnsi" w:eastAsia="Arial" w:hAnsiTheme="minorHAnsi" w:cstheme="minorHAnsi"/>
          <w:color w:val="auto"/>
        </w:rPr>
        <w:t>subject to</w:t>
      </w:r>
      <w:r>
        <w:rPr>
          <w:rFonts w:asciiTheme="minorHAnsi" w:eastAsia="Arial" w:hAnsiTheme="minorHAnsi" w:cstheme="minorHAnsi"/>
          <w:color w:val="auto"/>
        </w:rPr>
        <w:t xml:space="preserve"> sales loads and other fees and commissions as detailed in the prospectus.  Please note this exchange provision will not apply to ineligible share classes of mutual funds that are purchased in AWA investment advisory program retirement plan accounts even if the AWA fee-based investment advisory program agreement is terminated. </w:t>
      </w:r>
    </w:p>
    <w:p w14:paraId="3D03BDEC" w14:textId="77777777" w:rsidR="00193633" w:rsidRDefault="00193633" w:rsidP="00B25079">
      <w:pPr>
        <w:pStyle w:val="Heading2"/>
        <w:ind w:left="0"/>
        <w:rPr>
          <w:rFonts w:asciiTheme="minorHAnsi" w:hAnsiTheme="minorHAnsi" w:cstheme="minorHAnsi"/>
        </w:rPr>
      </w:pPr>
    </w:p>
    <w:p w14:paraId="74B92305" w14:textId="349B7F14" w:rsidR="00193633" w:rsidRDefault="007931FA" w:rsidP="007931FA">
      <w:pPr>
        <w:pStyle w:val="Heading2"/>
        <w:numPr>
          <w:ilvl w:val="0"/>
          <w:numId w:val="32"/>
        </w:numPr>
        <w:rPr>
          <w:rFonts w:asciiTheme="minorHAnsi" w:hAnsiTheme="minorHAnsi" w:cstheme="minorHAnsi"/>
          <w:sz w:val="28"/>
          <w:szCs w:val="28"/>
        </w:rPr>
      </w:pPr>
      <w:r w:rsidRPr="007931FA">
        <w:rPr>
          <w:rFonts w:asciiTheme="minorHAnsi" w:hAnsiTheme="minorHAnsi" w:cstheme="minorHAnsi"/>
          <w:sz w:val="28"/>
          <w:szCs w:val="28"/>
        </w:rPr>
        <w:t>Investing in Annuities</w:t>
      </w:r>
    </w:p>
    <w:p w14:paraId="4C67003A" w14:textId="1BC24EC6" w:rsidR="007931FA" w:rsidRDefault="007B5D72" w:rsidP="007931FA">
      <w:pPr>
        <w:pStyle w:val="Heading2"/>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This section is designed to help you make an informed decision as to whether an annuity is the </w:t>
      </w:r>
      <w:r w:rsidR="00DF48A5">
        <w:rPr>
          <w:rFonts w:asciiTheme="minorHAnsi" w:hAnsiTheme="minorHAnsi" w:cstheme="minorHAnsi"/>
          <w:b w:val="0"/>
          <w:bCs w:val="0"/>
          <w:sz w:val="24"/>
          <w:szCs w:val="24"/>
        </w:rPr>
        <w:t>right</w:t>
      </w:r>
      <w:r>
        <w:rPr>
          <w:rFonts w:asciiTheme="minorHAnsi" w:hAnsiTheme="minorHAnsi" w:cstheme="minorHAnsi"/>
          <w:b w:val="0"/>
          <w:bCs w:val="0"/>
          <w:sz w:val="24"/>
          <w:szCs w:val="24"/>
        </w:rPr>
        <w:t xml:space="preserve"> investment for you/  You should read this information carefully and in </w:t>
      </w:r>
      <w:r w:rsidR="00DF48A5">
        <w:rPr>
          <w:rFonts w:asciiTheme="minorHAnsi" w:hAnsiTheme="minorHAnsi" w:cstheme="minorHAnsi"/>
          <w:b w:val="0"/>
          <w:bCs w:val="0"/>
          <w:sz w:val="24"/>
          <w:szCs w:val="24"/>
        </w:rPr>
        <w:t>conjunction</w:t>
      </w:r>
      <w:r>
        <w:rPr>
          <w:rFonts w:asciiTheme="minorHAnsi" w:hAnsiTheme="minorHAnsi" w:cstheme="minorHAnsi"/>
          <w:b w:val="0"/>
          <w:bCs w:val="0"/>
          <w:sz w:val="24"/>
          <w:szCs w:val="24"/>
        </w:rPr>
        <w:t xml:space="preserve"> with the policy </w:t>
      </w:r>
      <w:r w:rsidR="00DF48A5">
        <w:rPr>
          <w:rFonts w:asciiTheme="minorHAnsi" w:hAnsiTheme="minorHAnsi" w:cstheme="minorHAnsi"/>
          <w:b w:val="0"/>
          <w:bCs w:val="0"/>
          <w:sz w:val="24"/>
          <w:szCs w:val="24"/>
        </w:rPr>
        <w:t>documents</w:t>
      </w:r>
      <w:r>
        <w:rPr>
          <w:rFonts w:asciiTheme="minorHAnsi" w:hAnsiTheme="minorHAnsi" w:cstheme="minorHAnsi"/>
          <w:b w:val="0"/>
          <w:bCs w:val="0"/>
          <w:sz w:val="24"/>
          <w:szCs w:val="24"/>
        </w:rPr>
        <w:t xml:space="preserve">, disclosure materials and/or prospectus of any annuity you are considering.  You should also talk to your AC Account Representative, who can help you evaluate your options. </w:t>
      </w:r>
    </w:p>
    <w:p w14:paraId="0854C2E5" w14:textId="36C5912D" w:rsidR="00DF48A5" w:rsidRDefault="00DF48A5" w:rsidP="007931FA">
      <w:pPr>
        <w:pStyle w:val="Heading2"/>
        <w:ind w:left="0"/>
        <w:rPr>
          <w:rFonts w:asciiTheme="minorHAnsi" w:hAnsiTheme="minorHAnsi" w:cstheme="minorHAnsi"/>
          <w:b w:val="0"/>
          <w:bCs w:val="0"/>
          <w:sz w:val="24"/>
          <w:szCs w:val="24"/>
        </w:rPr>
      </w:pPr>
    </w:p>
    <w:p w14:paraId="545F37D9" w14:textId="2C043192" w:rsidR="00DF48A5" w:rsidRDefault="002575AC" w:rsidP="007931FA">
      <w:pPr>
        <w:pStyle w:val="Heading2"/>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An annuity is a contract issued by a life insurance company that provides or more investment choices and allows your money to grow tax deferred until it is withdrawn. In return for the premiums you pay, the issuing insurance company </w:t>
      </w:r>
      <w:r w:rsidR="00413F1B">
        <w:rPr>
          <w:rFonts w:asciiTheme="minorHAnsi" w:hAnsiTheme="minorHAnsi" w:cstheme="minorHAnsi"/>
          <w:b w:val="0"/>
          <w:bCs w:val="0"/>
          <w:sz w:val="24"/>
          <w:szCs w:val="24"/>
        </w:rPr>
        <w:t xml:space="preserve">pledges to return your funds in the future-including </w:t>
      </w:r>
      <w:r w:rsidR="00BA1E0B">
        <w:rPr>
          <w:rFonts w:asciiTheme="minorHAnsi" w:hAnsiTheme="minorHAnsi" w:cstheme="minorHAnsi"/>
          <w:b w:val="0"/>
          <w:bCs w:val="0"/>
          <w:sz w:val="24"/>
          <w:szCs w:val="24"/>
        </w:rPr>
        <w:t>earnings</w:t>
      </w:r>
      <w:r w:rsidR="00413F1B">
        <w:rPr>
          <w:rFonts w:asciiTheme="minorHAnsi" w:hAnsiTheme="minorHAnsi" w:cstheme="minorHAnsi"/>
          <w:b w:val="0"/>
          <w:bCs w:val="0"/>
          <w:sz w:val="24"/>
          <w:szCs w:val="24"/>
        </w:rPr>
        <w:t xml:space="preserve"> if occurred</w:t>
      </w:r>
      <w:r w:rsidR="00413F1B">
        <w:rPr>
          <w:rStyle w:val="FootnoteReference"/>
          <w:rFonts w:asciiTheme="minorHAnsi" w:hAnsiTheme="minorHAnsi" w:cstheme="minorHAnsi"/>
          <w:b w:val="0"/>
          <w:bCs w:val="0"/>
          <w:sz w:val="24"/>
          <w:szCs w:val="24"/>
        </w:rPr>
        <w:footnoteReference w:id="4"/>
      </w:r>
      <w:r w:rsidR="00413F1B">
        <w:rPr>
          <w:rFonts w:asciiTheme="minorHAnsi" w:hAnsiTheme="minorHAnsi" w:cstheme="minorHAnsi"/>
          <w:b w:val="0"/>
          <w:bCs w:val="0"/>
          <w:sz w:val="24"/>
          <w:szCs w:val="24"/>
        </w:rPr>
        <w:t xml:space="preserve"> or make</w:t>
      </w:r>
      <w:r w:rsidR="00996527">
        <w:rPr>
          <w:rFonts w:asciiTheme="minorHAnsi" w:hAnsiTheme="minorHAnsi" w:cstheme="minorHAnsi"/>
          <w:b w:val="0"/>
          <w:bCs w:val="0"/>
          <w:sz w:val="24"/>
          <w:szCs w:val="24"/>
        </w:rPr>
        <w:t xml:space="preserve"> a series of guaranteed period payments (called annuitization) to you or anyone else you specify.  Annuities can be purchased by making a single payment or by making </w:t>
      </w:r>
      <w:r w:rsidR="00BA1E0B">
        <w:rPr>
          <w:rFonts w:asciiTheme="minorHAnsi" w:hAnsiTheme="minorHAnsi" w:cstheme="minorHAnsi"/>
          <w:b w:val="0"/>
          <w:bCs w:val="0"/>
          <w:sz w:val="24"/>
          <w:szCs w:val="24"/>
        </w:rPr>
        <w:t>a series</w:t>
      </w:r>
      <w:r w:rsidR="00996527">
        <w:rPr>
          <w:rFonts w:asciiTheme="minorHAnsi" w:hAnsiTheme="minorHAnsi" w:cstheme="minorHAnsi"/>
          <w:b w:val="0"/>
          <w:bCs w:val="0"/>
          <w:sz w:val="24"/>
          <w:szCs w:val="24"/>
        </w:rPr>
        <w:t xml:space="preserve"> of payments over time.  Guarantees</w:t>
      </w:r>
      <w:r w:rsidR="003D5553">
        <w:rPr>
          <w:rFonts w:asciiTheme="minorHAnsi" w:hAnsiTheme="minorHAnsi" w:cstheme="minorHAnsi"/>
          <w:b w:val="0"/>
          <w:bCs w:val="0"/>
          <w:sz w:val="24"/>
          <w:szCs w:val="24"/>
        </w:rPr>
        <w:t xml:space="preserve">, including interest rates and subsequent income payouts are backed by the claims-paying ability of the issuing company.  </w:t>
      </w:r>
    </w:p>
    <w:p w14:paraId="4A15389C" w14:textId="2B299B5B" w:rsidR="003D5553" w:rsidRDefault="003D5553" w:rsidP="007931FA">
      <w:pPr>
        <w:pStyle w:val="Heading2"/>
        <w:ind w:left="0"/>
        <w:rPr>
          <w:rFonts w:asciiTheme="minorHAnsi" w:hAnsiTheme="minorHAnsi" w:cstheme="minorHAnsi"/>
          <w:b w:val="0"/>
          <w:bCs w:val="0"/>
          <w:sz w:val="24"/>
          <w:szCs w:val="24"/>
        </w:rPr>
      </w:pPr>
    </w:p>
    <w:p w14:paraId="6BDC5FD5" w14:textId="77A296BF" w:rsidR="00193633" w:rsidRDefault="00AA0923" w:rsidP="00B25079">
      <w:pPr>
        <w:pStyle w:val="Heading2"/>
        <w:ind w:left="0"/>
        <w:rPr>
          <w:rFonts w:asciiTheme="minorHAnsi" w:hAnsiTheme="minorHAnsi" w:cstheme="minorHAnsi"/>
          <w:b w:val="0"/>
          <w:bCs w:val="0"/>
          <w:sz w:val="24"/>
          <w:szCs w:val="24"/>
        </w:rPr>
      </w:pPr>
      <w:r>
        <w:rPr>
          <w:rFonts w:asciiTheme="minorHAnsi" w:hAnsiTheme="minorHAnsi" w:cstheme="minorHAnsi"/>
          <w:b w:val="0"/>
          <w:bCs w:val="0"/>
          <w:sz w:val="24"/>
          <w:szCs w:val="24"/>
        </w:rPr>
        <w:t>You can access the money you invest in an annuity by (a) surrend</w:t>
      </w:r>
      <w:r w:rsidR="00BA1E0B">
        <w:rPr>
          <w:rFonts w:asciiTheme="minorHAnsi" w:hAnsiTheme="minorHAnsi" w:cstheme="minorHAnsi"/>
          <w:b w:val="0"/>
          <w:bCs w:val="0"/>
          <w:sz w:val="24"/>
          <w:szCs w:val="24"/>
        </w:rPr>
        <w:t>er</w:t>
      </w:r>
      <w:r>
        <w:rPr>
          <w:rFonts w:asciiTheme="minorHAnsi" w:hAnsiTheme="minorHAnsi" w:cstheme="minorHAnsi"/>
          <w:b w:val="0"/>
          <w:bCs w:val="0"/>
          <w:sz w:val="24"/>
          <w:szCs w:val="24"/>
        </w:rPr>
        <w:t xml:space="preserve">ing your contract, (b) making one or more partial withdrawals, (c) electing to </w:t>
      </w:r>
      <w:r w:rsidR="00FB799D">
        <w:rPr>
          <w:rFonts w:asciiTheme="minorHAnsi" w:hAnsiTheme="minorHAnsi" w:cstheme="minorHAnsi"/>
          <w:b w:val="0"/>
          <w:bCs w:val="0"/>
          <w:sz w:val="24"/>
          <w:szCs w:val="24"/>
        </w:rPr>
        <w:t>receive</w:t>
      </w:r>
      <w:r>
        <w:rPr>
          <w:rFonts w:asciiTheme="minorHAnsi" w:hAnsiTheme="minorHAnsi" w:cstheme="minorHAnsi"/>
          <w:b w:val="0"/>
          <w:bCs w:val="0"/>
          <w:sz w:val="24"/>
          <w:szCs w:val="24"/>
        </w:rPr>
        <w:t xml:space="preserve"> partial periodic payments.  Since annuities are a tax-de</w:t>
      </w:r>
      <w:r w:rsidR="00FB799D">
        <w:rPr>
          <w:rFonts w:asciiTheme="minorHAnsi" w:hAnsiTheme="minorHAnsi" w:cstheme="minorHAnsi"/>
          <w:b w:val="0"/>
          <w:bCs w:val="0"/>
          <w:sz w:val="24"/>
          <w:szCs w:val="24"/>
        </w:rPr>
        <w:t>fe</w:t>
      </w:r>
      <w:r>
        <w:rPr>
          <w:rFonts w:asciiTheme="minorHAnsi" w:hAnsiTheme="minorHAnsi" w:cstheme="minorHAnsi"/>
          <w:b w:val="0"/>
          <w:bCs w:val="0"/>
          <w:sz w:val="24"/>
          <w:szCs w:val="24"/>
        </w:rPr>
        <w:t xml:space="preserve">rred investment, withdrawing funds generally </w:t>
      </w:r>
      <w:r w:rsidR="006E69C6">
        <w:rPr>
          <w:rFonts w:asciiTheme="minorHAnsi" w:hAnsiTheme="minorHAnsi" w:cstheme="minorHAnsi"/>
          <w:b w:val="0"/>
          <w:bCs w:val="0"/>
          <w:sz w:val="24"/>
          <w:szCs w:val="24"/>
        </w:rPr>
        <w:t>has</w:t>
      </w:r>
      <w:r>
        <w:rPr>
          <w:rFonts w:asciiTheme="minorHAnsi" w:hAnsiTheme="minorHAnsi" w:cstheme="minorHAnsi"/>
          <w:b w:val="0"/>
          <w:bCs w:val="0"/>
          <w:sz w:val="24"/>
          <w:szCs w:val="24"/>
        </w:rPr>
        <w:t xml:space="preserve"> tax consequences.  </w:t>
      </w:r>
      <w:r w:rsidR="00FB799D">
        <w:rPr>
          <w:rFonts w:asciiTheme="minorHAnsi" w:hAnsiTheme="minorHAnsi" w:cstheme="minorHAnsi"/>
          <w:b w:val="0"/>
          <w:bCs w:val="0"/>
          <w:sz w:val="24"/>
          <w:szCs w:val="24"/>
        </w:rPr>
        <w:t>Withdrawals</w:t>
      </w:r>
      <w:r>
        <w:rPr>
          <w:rFonts w:asciiTheme="minorHAnsi" w:hAnsiTheme="minorHAnsi" w:cstheme="minorHAnsi"/>
          <w:b w:val="0"/>
          <w:bCs w:val="0"/>
          <w:sz w:val="24"/>
          <w:szCs w:val="24"/>
        </w:rPr>
        <w:t xml:space="preserve"> from annuities are taxed as ordinary income, which can be a higher rate than other investment products, and surrenders or withdrawals</w:t>
      </w:r>
      <w:r w:rsidR="00364337">
        <w:rPr>
          <w:rFonts w:asciiTheme="minorHAnsi" w:hAnsiTheme="minorHAnsi" w:cstheme="minorHAnsi"/>
          <w:b w:val="0"/>
          <w:bCs w:val="0"/>
          <w:sz w:val="24"/>
          <w:szCs w:val="24"/>
        </w:rPr>
        <w:t xml:space="preserve"> prior to 59 ½ , unless otherwise provided by the federal tax code will incur a 10% IRS tax penalty</w:t>
      </w:r>
      <w:r w:rsidR="00BA1E0B">
        <w:rPr>
          <w:rFonts w:asciiTheme="minorHAnsi" w:hAnsiTheme="minorHAnsi" w:cstheme="minorHAnsi"/>
          <w:b w:val="0"/>
          <w:bCs w:val="0"/>
          <w:sz w:val="24"/>
          <w:szCs w:val="24"/>
        </w:rPr>
        <w:t xml:space="preserve"> in additional to federal income tax and possible state and local governments.  In addition, most annuity contracts include surrender charges for early withdrawals (see surrender charges below)</w:t>
      </w:r>
      <w:r w:rsidR="00FB799D">
        <w:rPr>
          <w:rFonts w:asciiTheme="minorHAnsi" w:hAnsiTheme="minorHAnsi" w:cstheme="minorHAnsi"/>
          <w:b w:val="0"/>
          <w:bCs w:val="0"/>
          <w:sz w:val="24"/>
          <w:szCs w:val="24"/>
        </w:rPr>
        <w:t>.</w:t>
      </w:r>
    </w:p>
    <w:p w14:paraId="739F1E6E" w14:textId="4888384E" w:rsidR="00FB799D" w:rsidRDefault="00FB799D" w:rsidP="00B25079">
      <w:pPr>
        <w:pStyle w:val="Heading2"/>
        <w:ind w:left="0"/>
        <w:rPr>
          <w:rFonts w:asciiTheme="minorHAnsi" w:hAnsiTheme="minorHAnsi" w:cstheme="minorHAnsi"/>
          <w:b w:val="0"/>
          <w:bCs w:val="0"/>
          <w:sz w:val="24"/>
          <w:szCs w:val="24"/>
        </w:rPr>
      </w:pPr>
    </w:p>
    <w:p w14:paraId="2CE4D344" w14:textId="24D81B54" w:rsidR="00C94675" w:rsidRPr="00F83948" w:rsidRDefault="00C94675" w:rsidP="00B25079">
      <w:pPr>
        <w:pStyle w:val="Heading2"/>
        <w:ind w:left="0"/>
        <w:rPr>
          <w:rFonts w:asciiTheme="minorHAnsi" w:hAnsiTheme="minorHAnsi" w:cstheme="minorHAnsi"/>
          <w:sz w:val="24"/>
          <w:szCs w:val="24"/>
        </w:rPr>
      </w:pPr>
      <w:r w:rsidRPr="00F83948">
        <w:rPr>
          <w:rFonts w:asciiTheme="minorHAnsi" w:hAnsiTheme="minorHAnsi" w:cstheme="minorHAnsi"/>
          <w:sz w:val="24"/>
          <w:szCs w:val="24"/>
        </w:rPr>
        <w:t>Annuity Fees &amp; Expenses</w:t>
      </w:r>
    </w:p>
    <w:p w14:paraId="119D21C3" w14:textId="21DE8F18" w:rsidR="00C94675" w:rsidRDefault="00C94675" w:rsidP="00B25079">
      <w:pPr>
        <w:pStyle w:val="Heading2"/>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Like most </w:t>
      </w:r>
      <w:r w:rsidR="00F83948">
        <w:rPr>
          <w:rFonts w:asciiTheme="minorHAnsi" w:hAnsiTheme="minorHAnsi" w:cstheme="minorHAnsi"/>
          <w:b w:val="0"/>
          <w:bCs w:val="0"/>
          <w:sz w:val="24"/>
          <w:szCs w:val="24"/>
        </w:rPr>
        <w:t>investments</w:t>
      </w:r>
      <w:r>
        <w:rPr>
          <w:rFonts w:asciiTheme="minorHAnsi" w:hAnsiTheme="minorHAnsi" w:cstheme="minorHAnsi"/>
          <w:b w:val="0"/>
          <w:bCs w:val="0"/>
          <w:sz w:val="24"/>
          <w:szCs w:val="24"/>
        </w:rPr>
        <w:t xml:space="preserve">, there are certain charges and fees associated with annuities.  The policy documents, disclosure materials, and/or prospectus of each annuity will describe the charges you pay, including annual operating expenses.  </w:t>
      </w:r>
    </w:p>
    <w:p w14:paraId="0692754D" w14:textId="3BAAB096" w:rsidR="00374F53" w:rsidRPr="00F83948" w:rsidRDefault="00374F53" w:rsidP="00B25079">
      <w:pPr>
        <w:pStyle w:val="Heading2"/>
        <w:ind w:left="0"/>
        <w:rPr>
          <w:rFonts w:asciiTheme="minorHAnsi" w:hAnsiTheme="minorHAnsi" w:cstheme="minorHAnsi"/>
          <w:sz w:val="24"/>
          <w:szCs w:val="24"/>
        </w:rPr>
      </w:pPr>
    </w:p>
    <w:p w14:paraId="1E454B60" w14:textId="15BCBCE6" w:rsidR="00374F53" w:rsidRPr="00F83948" w:rsidRDefault="00374F53" w:rsidP="00B25079">
      <w:pPr>
        <w:pStyle w:val="Heading2"/>
        <w:ind w:left="0"/>
        <w:rPr>
          <w:rFonts w:asciiTheme="minorHAnsi" w:hAnsiTheme="minorHAnsi" w:cstheme="minorHAnsi"/>
          <w:sz w:val="24"/>
          <w:szCs w:val="24"/>
        </w:rPr>
      </w:pPr>
      <w:r w:rsidRPr="00F83948">
        <w:rPr>
          <w:rFonts w:asciiTheme="minorHAnsi" w:hAnsiTheme="minorHAnsi" w:cstheme="minorHAnsi"/>
          <w:sz w:val="24"/>
          <w:szCs w:val="24"/>
        </w:rPr>
        <w:t>Surrender Charges</w:t>
      </w:r>
    </w:p>
    <w:p w14:paraId="04A78E43" w14:textId="0490463B" w:rsidR="00374F53" w:rsidRDefault="00374F53" w:rsidP="00B25079">
      <w:pPr>
        <w:pStyle w:val="Heading2"/>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Surrender charges are assessed for early </w:t>
      </w:r>
      <w:r w:rsidR="00F83948">
        <w:rPr>
          <w:rFonts w:asciiTheme="minorHAnsi" w:hAnsiTheme="minorHAnsi" w:cstheme="minorHAnsi"/>
          <w:b w:val="0"/>
          <w:bCs w:val="0"/>
          <w:sz w:val="24"/>
          <w:szCs w:val="24"/>
        </w:rPr>
        <w:t>withdrawals</w:t>
      </w:r>
      <w:r>
        <w:rPr>
          <w:rFonts w:asciiTheme="minorHAnsi" w:hAnsiTheme="minorHAnsi" w:cstheme="minorHAnsi"/>
          <w:b w:val="0"/>
          <w:bCs w:val="0"/>
          <w:sz w:val="24"/>
          <w:szCs w:val="24"/>
        </w:rPr>
        <w:t xml:space="preserve"> since annuities are designed for long term investing.  Surrender charges are usually calculated as a </w:t>
      </w:r>
      <w:r w:rsidR="00F83948">
        <w:rPr>
          <w:rFonts w:asciiTheme="minorHAnsi" w:hAnsiTheme="minorHAnsi" w:cstheme="minorHAnsi"/>
          <w:b w:val="0"/>
          <w:bCs w:val="0"/>
          <w:sz w:val="24"/>
          <w:szCs w:val="24"/>
        </w:rPr>
        <w:t>percentage</w:t>
      </w:r>
      <w:r>
        <w:rPr>
          <w:rFonts w:asciiTheme="minorHAnsi" w:hAnsiTheme="minorHAnsi" w:cstheme="minorHAnsi"/>
          <w:b w:val="0"/>
          <w:bCs w:val="0"/>
          <w:sz w:val="24"/>
          <w:szCs w:val="24"/>
        </w:rPr>
        <w:t xml:space="preserve"> of the purchase </w:t>
      </w:r>
      <w:r w:rsidR="008E1C99">
        <w:rPr>
          <w:rFonts w:asciiTheme="minorHAnsi" w:hAnsiTheme="minorHAnsi" w:cstheme="minorHAnsi"/>
          <w:b w:val="0"/>
          <w:bCs w:val="0"/>
          <w:sz w:val="24"/>
          <w:szCs w:val="24"/>
        </w:rPr>
        <w:t xml:space="preserve">payment withdrawn and decline gradually over the surrender charge period.  Surrender charges can range from as high as 8% in year one.  </w:t>
      </w:r>
      <w:r w:rsidR="00300C33">
        <w:rPr>
          <w:rFonts w:asciiTheme="minorHAnsi" w:hAnsiTheme="minorHAnsi" w:cstheme="minorHAnsi"/>
          <w:b w:val="0"/>
          <w:bCs w:val="0"/>
          <w:sz w:val="24"/>
          <w:szCs w:val="24"/>
        </w:rPr>
        <w:t xml:space="preserve">The surrender charge generally decreases over </w:t>
      </w:r>
      <w:proofErr w:type="gramStart"/>
      <w:r w:rsidR="00300C33">
        <w:rPr>
          <w:rFonts w:asciiTheme="minorHAnsi" w:hAnsiTheme="minorHAnsi" w:cstheme="minorHAnsi"/>
          <w:b w:val="0"/>
          <w:bCs w:val="0"/>
          <w:sz w:val="24"/>
          <w:szCs w:val="24"/>
        </w:rPr>
        <w:t>a period of time</w:t>
      </w:r>
      <w:proofErr w:type="gramEnd"/>
      <w:r w:rsidR="00300C33">
        <w:rPr>
          <w:rFonts w:asciiTheme="minorHAnsi" w:hAnsiTheme="minorHAnsi" w:cstheme="minorHAnsi"/>
          <w:b w:val="0"/>
          <w:bCs w:val="0"/>
          <w:sz w:val="24"/>
          <w:szCs w:val="24"/>
        </w:rPr>
        <w:t xml:space="preserve">.  Additional purchase payments usually begin a new surrender charge period applicable to those payments, </w:t>
      </w:r>
      <w:r w:rsidR="000621FB">
        <w:rPr>
          <w:rFonts w:asciiTheme="minorHAnsi" w:hAnsiTheme="minorHAnsi" w:cstheme="minorHAnsi"/>
          <w:b w:val="0"/>
          <w:bCs w:val="0"/>
          <w:sz w:val="24"/>
          <w:szCs w:val="24"/>
        </w:rPr>
        <w:t>so</w:t>
      </w:r>
      <w:r w:rsidR="00300C33">
        <w:rPr>
          <w:rFonts w:asciiTheme="minorHAnsi" w:hAnsiTheme="minorHAnsi" w:cstheme="minorHAnsi"/>
          <w:b w:val="0"/>
          <w:bCs w:val="0"/>
          <w:sz w:val="24"/>
          <w:szCs w:val="24"/>
        </w:rPr>
        <w:t xml:space="preserve"> new purchase payments will in most cases extend the surrender charge period on your investments beyond the original surrender charge period established at the purchase date.  Most annuities allow you to withdraw a part of your account value each year without paying a surrender charge.  </w:t>
      </w:r>
      <w:r w:rsidR="00A50FD3">
        <w:rPr>
          <w:rFonts w:asciiTheme="minorHAnsi" w:hAnsiTheme="minorHAnsi" w:cstheme="minorHAnsi"/>
          <w:b w:val="0"/>
          <w:bCs w:val="0"/>
          <w:sz w:val="24"/>
          <w:szCs w:val="24"/>
        </w:rPr>
        <w:t>In addition, many annuities allow you to withdraw all or part of your account value without paying a surrender charge if certain life events occur.</w:t>
      </w:r>
      <w:r w:rsidR="000621FB">
        <w:rPr>
          <w:rFonts w:asciiTheme="minorHAnsi" w:hAnsiTheme="minorHAnsi" w:cstheme="minorHAnsi"/>
          <w:b w:val="0"/>
          <w:bCs w:val="0"/>
          <w:sz w:val="24"/>
          <w:szCs w:val="24"/>
        </w:rPr>
        <w:t xml:space="preserve"> The availability of a waiver of surrender charges in case of such events and the requirement </w:t>
      </w:r>
      <w:r w:rsidR="00F83948">
        <w:rPr>
          <w:rFonts w:asciiTheme="minorHAnsi" w:hAnsiTheme="minorHAnsi" w:cstheme="minorHAnsi"/>
          <w:b w:val="0"/>
          <w:bCs w:val="0"/>
          <w:sz w:val="24"/>
          <w:szCs w:val="24"/>
        </w:rPr>
        <w:t>for</w:t>
      </w:r>
      <w:r w:rsidR="000621FB">
        <w:rPr>
          <w:rFonts w:asciiTheme="minorHAnsi" w:hAnsiTheme="minorHAnsi" w:cstheme="minorHAnsi"/>
          <w:b w:val="0"/>
          <w:bCs w:val="0"/>
          <w:sz w:val="24"/>
          <w:szCs w:val="24"/>
        </w:rPr>
        <w:t xml:space="preserve"> eligibility will </w:t>
      </w:r>
      <w:r w:rsidR="006E69C6">
        <w:rPr>
          <w:rFonts w:asciiTheme="minorHAnsi" w:hAnsiTheme="minorHAnsi" w:cstheme="minorHAnsi"/>
          <w:b w:val="0"/>
          <w:bCs w:val="0"/>
          <w:sz w:val="24"/>
          <w:szCs w:val="24"/>
        </w:rPr>
        <w:t>depend</w:t>
      </w:r>
      <w:r w:rsidR="000621FB">
        <w:rPr>
          <w:rFonts w:asciiTheme="minorHAnsi" w:hAnsiTheme="minorHAnsi" w:cstheme="minorHAnsi"/>
          <w:b w:val="0"/>
          <w:bCs w:val="0"/>
          <w:sz w:val="24"/>
          <w:szCs w:val="24"/>
        </w:rPr>
        <w:t xml:space="preserve"> on the individual annuity contract. </w:t>
      </w:r>
    </w:p>
    <w:p w14:paraId="25723696" w14:textId="42B86958" w:rsidR="00A63E35" w:rsidRDefault="00A63E35" w:rsidP="00B25079">
      <w:pPr>
        <w:pStyle w:val="Heading2"/>
        <w:ind w:left="0"/>
        <w:rPr>
          <w:rFonts w:asciiTheme="minorHAnsi" w:hAnsiTheme="minorHAnsi" w:cstheme="minorHAnsi"/>
          <w:b w:val="0"/>
          <w:bCs w:val="0"/>
          <w:sz w:val="24"/>
          <w:szCs w:val="24"/>
        </w:rPr>
      </w:pPr>
    </w:p>
    <w:p w14:paraId="37AE284A" w14:textId="1665512E" w:rsidR="004264C2" w:rsidRPr="00466992" w:rsidRDefault="004264C2" w:rsidP="00B25079">
      <w:pPr>
        <w:pStyle w:val="Heading2"/>
        <w:ind w:left="0"/>
        <w:rPr>
          <w:rFonts w:asciiTheme="minorHAnsi" w:hAnsiTheme="minorHAnsi" w:cstheme="minorHAnsi"/>
          <w:sz w:val="24"/>
          <w:szCs w:val="24"/>
        </w:rPr>
      </w:pPr>
      <w:r w:rsidRPr="00466992">
        <w:rPr>
          <w:rFonts w:asciiTheme="minorHAnsi" w:hAnsiTheme="minorHAnsi" w:cstheme="minorHAnsi"/>
          <w:sz w:val="24"/>
          <w:szCs w:val="24"/>
        </w:rPr>
        <w:t>Fixed Annuity Fees &amp; Expenses</w:t>
      </w:r>
    </w:p>
    <w:p w14:paraId="47E810E0" w14:textId="59C8161A" w:rsidR="004264C2" w:rsidRDefault="004264C2" w:rsidP="00B25079">
      <w:pPr>
        <w:pStyle w:val="Heading2"/>
        <w:ind w:left="0"/>
        <w:rPr>
          <w:rFonts w:asciiTheme="minorHAnsi" w:hAnsiTheme="minorHAnsi" w:cstheme="minorHAnsi"/>
          <w:b w:val="0"/>
          <w:bCs w:val="0"/>
          <w:sz w:val="24"/>
          <w:szCs w:val="24"/>
        </w:rPr>
      </w:pPr>
      <w:r>
        <w:rPr>
          <w:rFonts w:asciiTheme="minorHAnsi" w:hAnsiTheme="minorHAnsi" w:cstheme="minorHAnsi"/>
          <w:b w:val="0"/>
          <w:bCs w:val="0"/>
          <w:sz w:val="24"/>
          <w:szCs w:val="24"/>
        </w:rPr>
        <w:t>Fixed annuities generally have fees and expenses you should be aware of, in addition to the provisions for surrender charges as previously discussed.  These fees and expenses cover the insurance company’s</w:t>
      </w:r>
      <w:r w:rsidR="00100ACA">
        <w:rPr>
          <w:rFonts w:asciiTheme="minorHAnsi" w:hAnsiTheme="minorHAnsi" w:cstheme="minorHAnsi"/>
          <w:b w:val="0"/>
          <w:bCs w:val="0"/>
          <w:sz w:val="24"/>
          <w:szCs w:val="24"/>
        </w:rPr>
        <w:t xml:space="preserve"> costs of issuing and maintaining the annuity contract on an ongoing </w:t>
      </w:r>
      <w:r w:rsidR="00466992">
        <w:rPr>
          <w:rFonts w:asciiTheme="minorHAnsi" w:hAnsiTheme="minorHAnsi" w:cstheme="minorHAnsi"/>
          <w:b w:val="0"/>
          <w:bCs w:val="0"/>
          <w:sz w:val="24"/>
          <w:szCs w:val="24"/>
        </w:rPr>
        <w:t>basis</w:t>
      </w:r>
      <w:r w:rsidR="00100ACA">
        <w:rPr>
          <w:rFonts w:asciiTheme="minorHAnsi" w:hAnsiTheme="minorHAnsi" w:cstheme="minorHAnsi"/>
          <w:b w:val="0"/>
          <w:bCs w:val="0"/>
          <w:sz w:val="24"/>
          <w:szCs w:val="24"/>
        </w:rPr>
        <w:t xml:space="preserve">.  When the insurance company sets the interest rate to be credited to a fixed annuity, it usually </w:t>
      </w:r>
      <w:proofErr w:type="gramStart"/>
      <w:r w:rsidR="00100ACA">
        <w:rPr>
          <w:rFonts w:asciiTheme="minorHAnsi" w:hAnsiTheme="minorHAnsi" w:cstheme="minorHAnsi"/>
          <w:b w:val="0"/>
          <w:bCs w:val="0"/>
          <w:sz w:val="24"/>
          <w:szCs w:val="24"/>
        </w:rPr>
        <w:t>takes into account</w:t>
      </w:r>
      <w:proofErr w:type="gramEnd"/>
      <w:r w:rsidR="00100ACA">
        <w:rPr>
          <w:rFonts w:asciiTheme="minorHAnsi" w:hAnsiTheme="minorHAnsi" w:cstheme="minorHAnsi"/>
          <w:b w:val="0"/>
          <w:bCs w:val="0"/>
          <w:sz w:val="24"/>
          <w:szCs w:val="24"/>
        </w:rPr>
        <w:t xml:space="preserve"> not only prevailing market interest rates, but also an amount needed to recover its cost and earn a profit.  </w:t>
      </w:r>
      <w:r w:rsidR="00466992">
        <w:rPr>
          <w:rFonts w:asciiTheme="minorHAnsi" w:hAnsiTheme="minorHAnsi" w:cstheme="minorHAnsi"/>
          <w:b w:val="0"/>
          <w:bCs w:val="0"/>
          <w:sz w:val="24"/>
          <w:szCs w:val="24"/>
        </w:rPr>
        <w:t xml:space="preserve">Some fixed annuity contracts include an annual contract fee, which is eligible to be waived on larger account values.  AC is paid a commission for selling the fixed annuity to you and the insurance company’s costs include paying this commission. </w:t>
      </w:r>
    </w:p>
    <w:p w14:paraId="6C04DC4D" w14:textId="118475A7" w:rsidR="00466992" w:rsidRDefault="00466992" w:rsidP="00B25079">
      <w:pPr>
        <w:pStyle w:val="Heading2"/>
        <w:ind w:left="0"/>
        <w:rPr>
          <w:rFonts w:asciiTheme="minorHAnsi" w:hAnsiTheme="minorHAnsi" w:cstheme="minorHAnsi"/>
          <w:b w:val="0"/>
          <w:bCs w:val="0"/>
          <w:sz w:val="24"/>
          <w:szCs w:val="24"/>
        </w:rPr>
      </w:pPr>
    </w:p>
    <w:p w14:paraId="21A24EED" w14:textId="1FB18224" w:rsidR="00466992" w:rsidRDefault="00466992" w:rsidP="00B25079">
      <w:pPr>
        <w:pStyle w:val="Heading2"/>
        <w:ind w:left="0"/>
        <w:rPr>
          <w:rFonts w:asciiTheme="minorHAnsi" w:hAnsiTheme="minorHAnsi" w:cstheme="minorHAnsi"/>
          <w:sz w:val="24"/>
          <w:szCs w:val="24"/>
        </w:rPr>
      </w:pPr>
      <w:r w:rsidRPr="00506942">
        <w:rPr>
          <w:rFonts w:asciiTheme="minorHAnsi" w:hAnsiTheme="minorHAnsi" w:cstheme="minorHAnsi"/>
          <w:sz w:val="24"/>
          <w:szCs w:val="24"/>
        </w:rPr>
        <w:t>Variable Annuity Fe</w:t>
      </w:r>
      <w:r w:rsidR="00506942" w:rsidRPr="00506942">
        <w:rPr>
          <w:rFonts w:asciiTheme="minorHAnsi" w:hAnsiTheme="minorHAnsi" w:cstheme="minorHAnsi"/>
          <w:sz w:val="24"/>
          <w:szCs w:val="24"/>
        </w:rPr>
        <w:t>e</w:t>
      </w:r>
      <w:r w:rsidRPr="00506942">
        <w:rPr>
          <w:rFonts w:asciiTheme="minorHAnsi" w:hAnsiTheme="minorHAnsi" w:cstheme="minorHAnsi"/>
          <w:sz w:val="24"/>
          <w:szCs w:val="24"/>
        </w:rPr>
        <w:t>s and Expenses</w:t>
      </w:r>
    </w:p>
    <w:p w14:paraId="77DA6AE7" w14:textId="10760FFC" w:rsidR="000042C4" w:rsidRDefault="00FD5040" w:rsidP="00B25079">
      <w:pPr>
        <w:pStyle w:val="Heading2"/>
        <w:ind w:left="0"/>
        <w:rPr>
          <w:rFonts w:asciiTheme="minorHAnsi" w:hAnsiTheme="minorHAnsi" w:cstheme="minorHAnsi"/>
          <w:b w:val="0"/>
          <w:bCs w:val="0"/>
          <w:sz w:val="24"/>
          <w:szCs w:val="24"/>
        </w:rPr>
      </w:pPr>
      <w:r w:rsidRPr="005111E8">
        <w:rPr>
          <w:rFonts w:asciiTheme="minorHAnsi" w:hAnsiTheme="minorHAnsi" w:cstheme="minorHAnsi"/>
          <w:b w:val="0"/>
          <w:bCs w:val="0"/>
          <w:sz w:val="24"/>
          <w:szCs w:val="24"/>
        </w:rPr>
        <w:t>Variable Annuities also have general fees and expenses, in addition to the provisions for surrender charges</w:t>
      </w:r>
      <w:r w:rsidR="005A65B5" w:rsidRPr="005111E8">
        <w:rPr>
          <w:rFonts w:asciiTheme="minorHAnsi" w:hAnsiTheme="minorHAnsi" w:cstheme="minorHAnsi"/>
          <w:b w:val="0"/>
          <w:bCs w:val="0"/>
          <w:sz w:val="24"/>
          <w:szCs w:val="24"/>
        </w:rPr>
        <w:t xml:space="preserve"> discussed above, that you should be aware of. These fees and expenses cover the costs of issuing and </w:t>
      </w:r>
      <w:r w:rsidR="006E69C6" w:rsidRPr="005111E8">
        <w:rPr>
          <w:rFonts w:asciiTheme="minorHAnsi" w:hAnsiTheme="minorHAnsi" w:cstheme="minorHAnsi"/>
          <w:b w:val="0"/>
          <w:bCs w:val="0"/>
          <w:sz w:val="24"/>
          <w:szCs w:val="24"/>
        </w:rPr>
        <w:t>maintaining</w:t>
      </w:r>
      <w:r w:rsidR="005A65B5" w:rsidRPr="005111E8">
        <w:rPr>
          <w:rFonts w:asciiTheme="minorHAnsi" w:hAnsiTheme="minorHAnsi" w:cstheme="minorHAnsi"/>
          <w:b w:val="0"/>
          <w:bCs w:val="0"/>
          <w:sz w:val="24"/>
          <w:szCs w:val="24"/>
        </w:rPr>
        <w:t xml:space="preserve"> the annuity contract on an ongoing </w:t>
      </w:r>
      <w:r w:rsidR="005111E8" w:rsidRPr="005111E8">
        <w:rPr>
          <w:rFonts w:asciiTheme="minorHAnsi" w:hAnsiTheme="minorHAnsi" w:cstheme="minorHAnsi"/>
          <w:b w:val="0"/>
          <w:bCs w:val="0"/>
          <w:sz w:val="24"/>
          <w:szCs w:val="24"/>
        </w:rPr>
        <w:t>basis and</w:t>
      </w:r>
      <w:r w:rsidR="005A65B5" w:rsidRPr="005111E8">
        <w:rPr>
          <w:rFonts w:asciiTheme="minorHAnsi" w:hAnsiTheme="minorHAnsi" w:cstheme="minorHAnsi"/>
          <w:b w:val="0"/>
          <w:bCs w:val="0"/>
          <w:sz w:val="24"/>
          <w:szCs w:val="24"/>
        </w:rPr>
        <w:t xml:space="preserve"> </w:t>
      </w:r>
      <w:proofErr w:type="gramStart"/>
      <w:r w:rsidR="005A65B5" w:rsidRPr="005111E8">
        <w:rPr>
          <w:rFonts w:asciiTheme="minorHAnsi" w:hAnsiTheme="minorHAnsi" w:cstheme="minorHAnsi"/>
          <w:b w:val="0"/>
          <w:bCs w:val="0"/>
          <w:sz w:val="24"/>
          <w:szCs w:val="24"/>
        </w:rPr>
        <w:t>have an effect on</w:t>
      </w:r>
      <w:proofErr w:type="gramEnd"/>
      <w:r w:rsidR="005A65B5" w:rsidRPr="005111E8">
        <w:rPr>
          <w:rFonts w:asciiTheme="minorHAnsi" w:hAnsiTheme="minorHAnsi" w:cstheme="minorHAnsi"/>
          <w:b w:val="0"/>
          <w:bCs w:val="0"/>
          <w:sz w:val="24"/>
          <w:szCs w:val="24"/>
        </w:rPr>
        <w:t xml:space="preserve"> the value of your account and return of investment</w:t>
      </w:r>
      <w:r w:rsidR="0043652D" w:rsidRPr="005111E8">
        <w:rPr>
          <w:rFonts w:asciiTheme="minorHAnsi" w:hAnsiTheme="minorHAnsi" w:cstheme="minorHAnsi"/>
          <w:b w:val="0"/>
          <w:bCs w:val="0"/>
          <w:sz w:val="24"/>
          <w:szCs w:val="24"/>
        </w:rPr>
        <w:t>.  All fee</w:t>
      </w:r>
      <w:r w:rsidR="00014373" w:rsidRPr="005111E8">
        <w:rPr>
          <w:rFonts w:asciiTheme="minorHAnsi" w:hAnsiTheme="minorHAnsi" w:cstheme="minorHAnsi"/>
          <w:b w:val="0"/>
          <w:bCs w:val="0"/>
          <w:sz w:val="24"/>
          <w:szCs w:val="24"/>
        </w:rPr>
        <w:t>s</w:t>
      </w:r>
      <w:r w:rsidR="00CD4C3B" w:rsidRPr="005111E8">
        <w:rPr>
          <w:rFonts w:asciiTheme="minorHAnsi" w:hAnsiTheme="minorHAnsi" w:cstheme="minorHAnsi"/>
          <w:b w:val="0"/>
          <w:bCs w:val="0"/>
          <w:sz w:val="24"/>
          <w:szCs w:val="24"/>
        </w:rPr>
        <w:t xml:space="preserve">, expenses, and charges for any variable annuity that you are considering are described in the </w:t>
      </w:r>
      <w:r w:rsidR="0072288C" w:rsidRPr="005111E8">
        <w:rPr>
          <w:rFonts w:asciiTheme="minorHAnsi" w:hAnsiTheme="minorHAnsi" w:cstheme="minorHAnsi"/>
          <w:b w:val="0"/>
          <w:bCs w:val="0"/>
          <w:sz w:val="24"/>
          <w:szCs w:val="24"/>
        </w:rPr>
        <w:t xml:space="preserve">prospectus for that annuity.  AC is paid a commission for selling the variable annuity to you and the insurance company’s </w:t>
      </w:r>
      <w:r w:rsidR="005111E8" w:rsidRPr="005111E8">
        <w:rPr>
          <w:rFonts w:asciiTheme="minorHAnsi" w:hAnsiTheme="minorHAnsi" w:cstheme="minorHAnsi"/>
          <w:b w:val="0"/>
          <w:bCs w:val="0"/>
          <w:sz w:val="24"/>
          <w:szCs w:val="24"/>
        </w:rPr>
        <w:t xml:space="preserve">costs include paying this commission.  </w:t>
      </w:r>
      <w:r w:rsidR="008D3C36">
        <w:rPr>
          <w:rFonts w:asciiTheme="minorHAnsi" w:hAnsiTheme="minorHAnsi" w:cstheme="minorHAnsi"/>
          <w:b w:val="0"/>
          <w:bCs w:val="0"/>
          <w:sz w:val="24"/>
          <w:szCs w:val="24"/>
        </w:rPr>
        <w:t xml:space="preserve">Types of variable annuity fees include </w:t>
      </w:r>
      <w:r w:rsidR="000D26B9">
        <w:rPr>
          <w:rFonts w:asciiTheme="minorHAnsi" w:hAnsiTheme="minorHAnsi" w:cstheme="minorHAnsi"/>
          <w:b w:val="0"/>
          <w:bCs w:val="0"/>
          <w:sz w:val="24"/>
          <w:szCs w:val="24"/>
        </w:rPr>
        <w:t xml:space="preserve">mortality and expense charges and administrative fees (M&amp;E&amp;A), an annual account maintenance fee, sub-account expenses including investment advisory fees and fees for special product features and other charges. M&amp;E&amp;A charges typically range from 1.10% to 1.5%. Fees for annual account management range from $0 up to $100 annually depending on the assets </w:t>
      </w:r>
      <w:r w:rsidR="00CF44E4">
        <w:rPr>
          <w:rFonts w:asciiTheme="minorHAnsi" w:hAnsiTheme="minorHAnsi" w:cstheme="minorHAnsi"/>
          <w:b w:val="0"/>
          <w:bCs w:val="0"/>
          <w:sz w:val="24"/>
          <w:szCs w:val="24"/>
        </w:rPr>
        <w:t>invested</w:t>
      </w:r>
      <w:r w:rsidR="000D26B9">
        <w:rPr>
          <w:rFonts w:asciiTheme="minorHAnsi" w:hAnsiTheme="minorHAnsi" w:cstheme="minorHAnsi"/>
          <w:b w:val="0"/>
          <w:bCs w:val="0"/>
          <w:sz w:val="24"/>
          <w:szCs w:val="24"/>
        </w:rPr>
        <w:t xml:space="preserve"> and maintained </w:t>
      </w:r>
      <w:r w:rsidR="007E49CC">
        <w:rPr>
          <w:rFonts w:asciiTheme="minorHAnsi" w:hAnsiTheme="minorHAnsi" w:cstheme="minorHAnsi"/>
          <w:b w:val="0"/>
          <w:bCs w:val="0"/>
          <w:sz w:val="24"/>
          <w:szCs w:val="24"/>
        </w:rPr>
        <w:t>in a contract.  Fees for asset management and subaccount maintenance range from 0.35% to 2%.</w:t>
      </w:r>
    </w:p>
    <w:p w14:paraId="7C981BFE" w14:textId="7276CACB" w:rsidR="002C3576" w:rsidRDefault="002C3576" w:rsidP="00B25079">
      <w:pPr>
        <w:pStyle w:val="Heading2"/>
        <w:ind w:left="0"/>
        <w:rPr>
          <w:rFonts w:asciiTheme="minorHAnsi" w:hAnsiTheme="minorHAnsi" w:cstheme="minorHAnsi"/>
          <w:b w:val="0"/>
          <w:bCs w:val="0"/>
          <w:sz w:val="24"/>
          <w:szCs w:val="24"/>
        </w:rPr>
      </w:pPr>
    </w:p>
    <w:p w14:paraId="524EC0C3" w14:textId="309C80E6" w:rsidR="002C3576" w:rsidRPr="00E35D71" w:rsidRDefault="002C3576" w:rsidP="00B25079">
      <w:pPr>
        <w:pStyle w:val="Heading2"/>
        <w:ind w:left="0"/>
        <w:rPr>
          <w:rFonts w:asciiTheme="minorHAnsi" w:hAnsiTheme="minorHAnsi" w:cstheme="minorHAnsi"/>
          <w:sz w:val="24"/>
          <w:szCs w:val="24"/>
        </w:rPr>
      </w:pPr>
      <w:r w:rsidRPr="00E35D71">
        <w:rPr>
          <w:rFonts w:asciiTheme="minorHAnsi" w:hAnsiTheme="minorHAnsi" w:cstheme="minorHAnsi"/>
          <w:sz w:val="24"/>
          <w:szCs w:val="24"/>
        </w:rPr>
        <w:t>Variable Annuity Features</w:t>
      </w:r>
      <w:r w:rsidR="00E1564F">
        <w:rPr>
          <w:rFonts w:asciiTheme="minorHAnsi" w:hAnsiTheme="minorHAnsi" w:cstheme="minorHAnsi"/>
          <w:sz w:val="24"/>
          <w:szCs w:val="24"/>
        </w:rPr>
        <w:t xml:space="preserve"> </w:t>
      </w:r>
    </w:p>
    <w:p w14:paraId="6094BCC6" w14:textId="6FDAF770" w:rsidR="00E12026" w:rsidRDefault="00E35D71" w:rsidP="00B25079">
      <w:pPr>
        <w:pStyle w:val="Heading2"/>
        <w:ind w:left="0"/>
        <w:rPr>
          <w:rFonts w:asciiTheme="minorHAnsi" w:hAnsiTheme="minorHAnsi" w:cstheme="minorHAnsi"/>
          <w:b w:val="0"/>
          <w:bCs w:val="0"/>
          <w:sz w:val="24"/>
          <w:szCs w:val="24"/>
        </w:rPr>
      </w:pPr>
      <w:r>
        <w:rPr>
          <w:rFonts w:asciiTheme="minorHAnsi" w:hAnsiTheme="minorHAnsi" w:cstheme="minorHAnsi"/>
          <w:b w:val="0"/>
          <w:bCs w:val="0"/>
          <w:sz w:val="24"/>
          <w:szCs w:val="24"/>
        </w:rPr>
        <w:t>Variable</w:t>
      </w:r>
      <w:r w:rsidR="00844E2B">
        <w:rPr>
          <w:rFonts w:asciiTheme="minorHAnsi" w:hAnsiTheme="minorHAnsi" w:cstheme="minorHAnsi"/>
          <w:b w:val="0"/>
          <w:bCs w:val="0"/>
          <w:sz w:val="24"/>
          <w:szCs w:val="24"/>
        </w:rPr>
        <w:t xml:space="preserve"> Annuities offered through AC offer many features worth considering.  These features may be included as part of your </w:t>
      </w:r>
      <w:r w:rsidR="006E69C6">
        <w:rPr>
          <w:rFonts w:asciiTheme="minorHAnsi" w:hAnsiTheme="minorHAnsi" w:cstheme="minorHAnsi"/>
          <w:b w:val="0"/>
          <w:bCs w:val="0"/>
          <w:sz w:val="24"/>
          <w:szCs w:val="24"/>
        </w:rPr>
        <w:t>contract,</w:t>
      </w:r>
      <w:r w:rsidR="00844E2B">
        <w:rPr>
          <w:rFonts w:asciiTheme="minorHAnsi" w:hAnsiTheme="minorHAnsi" w:cstheme="minorHAnsi"/>
          <w:b w:val="0"/>
          <w:bCs w:val="0"/>
          <w:sz w:val="24"/>
          <w:szCs w:val="24"/>
        </w:rPr>
        <w:t xml:space="preserve"> or they could be optional riders that you can elect at the time of purchase or in the future.  Optional features typically carry an additional annual charge</w:t>
      </w:r>
      <w:r w:rsidR="00314561">
        <w:rPr>
          <w:rFonts w:asciiTheme="minorHAnsi" w:hAnsiTheme="minorHAnsi" w:cstheme="minorHAnsi"/>
          <w:b w:val="0"/>
          <w:bCs w:val="0"/>
          <w:sz w:val="24"/>
          <w:szCs w:val="24"/>
        </w:rPr>
        <w:t xml:space="preserve">, expressed as an annual </w:t>
      </w:r>
      <w:r w:rsidR="006E69C6">
        <w:rPr>
          <w:rFonts w:asciiTheme="minorHAnsi" w:hAnsiTheme="minorHAnsi" w:cstheme="minorHAnsi"/>
          <w:b w:val="0"/>
          <w:bCs w:val="0"/>
          <w:sz w:val="24"/>
          <w:szCs w:val="24"/>
        </w:rPr>
        <w:t>percentage</w:t>
      </w:r>
      <w:r w:rsidR="00314561">
        <w:rPr>
          <w:rFonts w:asciiTheme="minorHAnsi" w:hAnsiTheme="minorHAnsi" w:cstheme="minorHAnsi"/>
          <w:b w:val="0"/>
          <w:bCs w:val="0"/>
          <w:sz w:val="24"/>
          <w:szCs w:val="24"/>
        </w:rPr>
        <w:t xml:space="preserve"> of either the account value or the benefit base value.  </w:t>
      </w:r>
      <w:r w:rsidR="00BB7A57">
        <w:rPr>
          <w:rFonts w:asciiTheme="minorHAnsi" w:hAnsiTheme="minorHAnsi" w:cstheme="minorHAnsi"/>
          <w:b w:val="0"/>
          <w:bCs w:val="0"/>
          <w:sz w:val="24"/>
          <w:szCs w:val="24"/>
        </w:rPr>
        <w:t xml:space="preserve">You should carefully consider these features before </w:t>
      </w:r>
      <w:proofErr w:type="gramStart"/>
      <w:r w:rsidR="00BB7A57">
        <w:rPr>
          <w:rFonts w:asciiTheme="minorHAnsi" w:hAnsiTheme="minorHAnsi" w:cstheme="minorHAnsi"/>
          <w:b w:val="0"/>
          <w:bCs w:val="0"/>
          <w:sz w:val="24"/>
          <w:szCs w:val="24"/>
        </w:rPr>
        <w:t>making a selection</w:t>
      </w:r>
      <w:proofErr w:type="gramEnd"/>
      <w:r w:rsidR="00BB7A57">
        <w:rPr>
          <w:rFonts w:asciiTheme="minorHAnsi" w:hAnsiTheme="minorHAnsi" w:cstheme="minorHAnsi"/>
          <w:b w:val="0"/>
          <w:bCs w:val="0"/>
          <w:sz w:val="24"/>
          <w:szCs w:val="24"/>
        </w:rPr>
        <w:t xml:space="preserve"> since often you are not able</w:t>
      </w:r>
      <w:r>
        <w:rPr>
          <w:rFonts w:asciiTheme="minorHAnsi" w:hAnsiTheme="minorHAnsi" w:cstheme="minorHAnsi"/>
          <w:b w:val="0"/>
          <w:bCs w:val="0"/>
          <w:sz w:val="24"/>
          <w:szCs w:val="24"/>
        </w:rPr>
        <w:t xml:space="preserve"> </w:t>
      </w:r>
      <w:r w:rsidR="00BB7A57">
        <w:rPr>
          <w:rFonts w:asciiTheme="minorHAnsi" w:hAnsiTheme="minorHAnsi" w:cstheme="minorHAnsi"/>
          <w:b w:val="0"/>
          <w:bCs w:val="0"/>
          <w:sz w:val="24"/>
          <w:szCs w:val="24"/>
        </w:rPr>
        <w:t xml:space="preserve">to change your initial selection at a later date. These features </w:t>
      </w:r>
      <w:r w:rsidR="00564D6E">
        <w:rPr>
          <w:rFonts w:asciiTheme="minorHAnsi" w:hAnsiTheme="minorHAnsi" w:cstheme="minorHAnsi"/>
          <w:b w:val="0"/>
          <w:bCs w:val="0"/>
          <w:sz w:val="24"/>
          <w:szCs w:val="24"/>
        </w:rPr>
        <w:t xml:space="preserve">offer additional benefits that can be valuable to you and help you in meeting your investment goals.  They do not guarantee against day-to-day market </w:t>
      </w:r>
      <w:r w:rsidR="000D3312">
        <w:rPr>
          <w:rFonts w:asciiTheme="minorHAnsi" w:hAnsiTheme="minorHAnsi" w:cstheme="minorHAnsi"/>
          <w:b w:val="0"/>
          <w:bCs w:val="0"/>
          <w:sz w:val="24"/>
          <w:szCs w:val="24"/>
        </w:rPr>
        <w:t xml:space="preserve">fluctuations and can be affected by </w:t>
      </w:r>
      <w:r w:rsidR="006E69C6">
        <w:rPr>
          <w:rFonts w:asciiTheme="minorHAnsi" w:hAnsiTheme="minorHAnsi" w:cstheme="minorHAnsi"/>
          <w:b w:val="0"/>
          <w:bCs w:val="0"/>
          <w:sz w:val="24"/>
          <w:szCs w:val="24"/>
        </w:rPr>
        <w:t>subsequent</w:t>
      </w:r>
      <w:r w:rsidR="000D3312">
        <w:rPr>
          <w:rFonts w:asciiTheme="minorHAnsi" w:hAnsiTheme="minorHAnsi" w:cstheme="minorHAnsi"/>
          <w:b w:val="0"/>
          <w:bCs w:val="0"/>
          <w:sz w:val="24"/>
          <w:szCs w:val="24"/>
        </w:rPr>
        <w:t xml:space="preserve"> additions or withdrawals</w:t>
      </w:r>
      <w:r>
        <w:rPr>
          <w:rFonts w:asciiTheme="minorHAnsi" w:hAnsiTheme="minorHAnsi" w:cstheme="minorHAnsi"/>
          <w:b w:val="0"/>
          <w:bCs w:val="0"/>
          <w:sz w:val="24"/>
          <w:szCs w:val="24"/>
        </w:rPr>
        <w:t xml:space="preserve"> </w:t>
      </w:r>
      <w:r w:rsidR="000D3312">
        <w:rPr>
          <w:rFonts w:asciiTheme="minorHAnsi" w:hAnsiTheme="minorHAnsi" w:cstheme="minorHAnsi"/>
          <w:b w:val="0"/>
          <w:bCs w:val="0"/>
          <w:sz w:val="24"/>
          <w:szCs w:val="24"/>
        </w:rPr>
        <w:t>during the accumulation phase of your contract. The guaranteed features like all insurance company guarantees</w:t>
      </w:r>
      <w:r w:rsidR="003A330F">
        <w:rPr>
          <w:rFonts w:asciiTheme="minorHAnsi" w:hAnsiTheme="minorHAnsi" w:cstheme="minorHAnsi"/>
          <w:b w:val="0"/>
          <w:bCs w:val="0"/>
          <w:sz w:val="24"/>
          <w:szCs w:val="24"/>
        </w:rPr>
        <w:t xml:space="preserve"> are ultimately </w:t>
      </w:r>
      <w:proofErr w:type="gramStart"/>
      <w:r w:rsidR="003A330F">
        <w:rPr>
          <w:rFonts w:asciiTheme="minorHAnsi" w:hAnsiTheme="minorHAnsi" w:cstheme="minorHAnsi"/>
          <w:b w:val="0"/>
          <w:bCs w:val="0"/>
          <w:sz w:val="24"/>
          <w:szCs w:val="24"/>
        </w:rPr>
        <w:t>subject</w:t>
      </w:r>
      <w:proofErr w:type="gramEnd"/>
      <w:r w:rsidR="003A330F">
        <w:rPr>
          <w:rFonts w:asciiTheme="minorHAnsi" w:hAnsiTheme="minorHAnsi" w:cstheme="minorHAnsi"/>
          <w:b w:val="0"/>
          <w:bCs w:val="0"/>
          <w:sz w:val="24"/>
          <w:szCs w:val="24"/>
        </w:rPr>
        <w:t xml:space="preserve"> othe</w:t>
      </w:r>
      <w:r>
        <w:rPr>
          <w:rFonts w:asciiTheme="minorHAnsi" w:hAnsiTheme="minorHAnsi" w:cstheme="minorHAnsi"/>
          <w:b w:val="0"/>
          <w:bCs w:val="0"/>
          <w:sz w:val="24"/>
          <w:szCs w:val="24"/>
        </w:rPr>
        <w:t>r</w:t>
      </w:r>
      <w:r w:rsidR="003A330F">
        <w:rPr>
          <w:rFonts w:asciiTheme="minorHAnsi" w:hAnsiTheme="minorHAnsi" w:cstheme="minorHAnsi"/>
          <w:b w:val="0"/>
          <w:bCs w:val="0"/>
          <w:sz w:val="24"/>
          <w:szCs w:val="24"/>
        </w:rPr>
        <w:t xml:space="preserve"> claims paying ability of the issuing insurer. Var</w:t>
      </w:r>
      <w:r>
        <w:rPr>
          <w:rFonts w:asciiTheme="minorHAnsi" w:hAnsiTheme="minorHAnsi" w:cstheme="minorHAnsi"/>
          <w:b w:val="0"/>
          <w:bCs w:val="0"/>
          <w:sz w:val="24"/>
          <w:szCs w:val="24"/>
        </w:rPr>
        <w:t>iable Annuities are subject to investment risk, which means the value of your investment could decrease below or increase above the initial investment amount.</w:t>
      </w:r>
    </w:p>
    <w:p w14:paraId="76278B4A" w14:textId="66179A34" w:rsidR="006F4F4C" w:rsidRDefault="006F4F4C" w:rsidP="00B25079">
      <w:pPr>
        <w:pStyle w:val="Heading2"/>
        <w:ind w:left="0"/>
        <w:rPr>
          <w:rFonts w:asciiTheme="minorHAnsi" w:hAnsiTheme="minorHAnsi" w:cstheme="minorHAnsi"/>
          <w:b w:val="0"/>
          <w:bCs w:val="0"/>
          <w:sz w:val="24"/>
          <w:szCs w:val="24"/>
        </w:rPr>
      </w:pPr>
    </w:p>
    <w:p w14:paraId="3283B4B4" w14:textId="451AD6DD" w:rsidR="006F4F4C" w:rsidRDefault="006F4F4C" w:rsidP="00B25079">
      <w:pPr>
        <w:pStyle w:val="Heading2"/>
        <w:ind w:left="0"/>
        <w:rPr>
          <w:rFonts w:asciiTheme="minorHAnsi" w:hAnsiTheme="minorHAnsi" w:cstheme="minorHAnsi"/>
          <w:sz w:val="24"/>
          <w:szCs w:val="24"/>
        </w:rPr>
      </w:pPr>
      <w:r w:rsidRPr="006F4F4C">
        <w:rPr>
          <w:rFonts w:asciiTheme="minorHAnsi" w:hAnsiTheme="minorHAnsi" w:cstheme="minorHAnsi"/>
          <w:sz w:val="24"/>
          <w:szCs w:val="24"/>
        </w:rPr>
        <w:t xml:space="preserve">Compensation to </w:t>
      </w:r>
      <w:proofErr w:type="spellStart"/>
      <w:r w:rsidRPr="006F4F4C">
        <w:rPr>
          <w:rFonts w:asciiTheme="minorHAnsi" w:hAnsiTheme="minorHAnsi" w:cstheme="minorHAnsi"/>
          <w:sz w:val="24"/>
          <w:szCs w:val="24"/>
        </w:rPr>
        <w:t>Arkadios</w:t>
      </w:r>
      <w:proofErr w:type="spellEnd"/>
      <w:r>
        <w:rPr>
          <w:rFonts w:asciiTheme="minorHAnsi" w:hAnsiTheme="minorHAnsi" w:cstheme="minorHAnsi"/>
          <w:b w:val="0"/>
          <w:bCs w:val="0"/>
          <w:sz w:val="24"/>
          <w:szCs w:val="24"/>
        </w:rPr>
        <w:t xml:space="preserve"> </w:t>
      </w:r>
      <w:r w:rsidRPr="006F4F4C">
        <w:rPr>
          <w:rFonts w:asciiTheme="minorHAnsi" w:hAnsiTheme="minorHAnsi" w:cstheme="minorHAnsi"/>
          <w:sz w:val="24"/>
          <w:szCs w:val="24"/>
        </w:rPr>
        <w:t>Capital</w:t>
      </w:r>
    </w:p>
    <w:p w14:paraId="31B1BB72" w14:textId="6EFA0DAE" w:rsidR="00E12026" w:rsidRPr="001000D1" w:rsidRDefault="00E12026" w:rsidP="00B25079">
      <w:pPr>
        <w:pStyle w:val="Heading2"/>
        <w:ind w:left="0"/>
        <w:rPr>
          <w:rFonts w:asciiTheme="minorHAnsi" w:hAnsiTheme="minorHAnsi" w:cstheme="minorHAnsi"/>
          <w:b w:val="0"/>
          <w:bCs w:val="0"/>
          <w:sz w:val="24"/>
          <w:szCs w:val="24"/>
        </w:rPr>
      </w:pPr>
      <w:proofErr w:type="spellStart"/>
      <w:r w:rsidRPr="001000D1">
        <w:rPr>
          <w:rFonts w:asciiTheme="minorHAnsi" w:hAnsiTheme="minorHAnsi" w:cstheme="minorHAnsi"/>
          <w:b w:val="0"/>
          <w:bCs w:val="0"/>
          <w:sz w:val="24"/>
          <w:szCs w:val="24"/>
        </w:rPr>
        <w:t>Arkadios</w:t>
      </w:r>
      <w:proofErr w:type="spellEnd"/>
      <w:r w:rsidRPr="001000D1">
        <w:rPr>
          <w:rFonts w:asciiTheme="minorHAnsi" w:hAnsiTheme="minorHAnsi" w:cstheme="minorHAnsi"/>
          <w:b w:val="0"/>
          <w:bCs w:val="0"/>
          <w:sz w:val="24"/>
          <w:szCs w:val="24"/>
        </w:rPr>
        <w:t xml:space="preserve"> Capital and your AC Representative are compensated when you purchase an annuity through AC.  This </w:t>
      </w:r>
      <w:proofErr w:type="gramStart"/>
      <w:r w:rsidRPr="001000D1">
        <w:rPr>
          <w:rFonts w:asciiTheme="minorHAnsi" w:hAnsiTheme="minorHAnsi" w:cstheme="minorHAnsi"/>
          <w:b w:val="0"/>
          <w:bCs w:val="0"/>
          <w:sz w:val="24"/>
          <w:szCs w:val="24"/>
        </w:rPr>
        <w:t>compensation</w:t>
      </w:r>
      <w:proofErr w:type="gramEnd"/>
      <w:r w:rsidRPr="001000D1">
        <w:rPr>
          <w:rFonts w:asciiTheme="minorHAnsi" w:hAnsiTheme="minorHAnsi" w:cstheme="minorHAnsi"/>
          <w:b w:val="0"/>
          <w:bCs w:val="0"/>
          <w:sz w:val="24"/>
          <w:szCs w:val="24"/>
        </w:rPr>
        <w:t xml:space="preserve"> as described below, can vary based on the type of annuity, the issuing insurance company, and the amount </w:t>
      </w:r>
      <w:r w:rsidR="006E69C6" w:rsidRPr="001000D1">
        <w:rPr>
          <w:rFonts w:asciiTheme="minorHAnsi" w:hAnsiTheme="minorHAnsi" w:cstheme="minorHAnsi"/>
          <w:b w:val="0"/>
          <w:bCs w:val="0"/>
          <w:sz w:val="24"/>
          <w:szCs w:val="24"/>
        </w:rPr>
        <w:t>invested.</w:t>
      </w:r>
    </w:p>
    <w:p w14:paraId="6569BA61" w14:textId="241FFD19" w:rsidR="00E12026" w:rsidRPr="001000D1" w:rsidRDefault="00E12026" w:rsidP="00B25079">
      <w:pPr>
        <w:pStyle w:val="Heading2"/>
        <w:ind w:left="0"/>
        <w:rPr>
          <w:rFonts w:asciiTheme="minorHAnsi" w:hAnsiTheme="minorHAnsi" w:cstheme="minorHAnsi"/>
          <w:b w:val="0"/>
          <w:bCs w:val="0"/>
          <w:sz w:val="24"/>
          <w:szCs w:val="24"/>
        </w:rPr>
      </w:pPr>
    </w:p>
    <w:p w14:paraId="7A3D6419" w14:textId="46EF2BA1" w:rsidR="00E12026" w:rsidRDefault="00E12026" w:rsidP="00E12026">
      <w:pPr>
        <w:pStyle w:val="Heading2"/>
        <w:numPr>
          <w:ilvl w:val="0"/>
          <w:numId w:val="34"/>
        </w:numPr>
        <w:rPr>
          <w:rFonts w:asciiTheme="minorHAnsi" w:hAnsiTheme="minorHAnsi" w:cstheme="minorHAnsi"/>
          <w:b w:val="0"/>
          <w:bCs w:val="0"/>
          <w:sz w:val="24"/>
          <w:szCs w:val="24"/>
        </w:rPr>
      </w:pPr>
      <w:r w:rsidRPr="001000D1">
        <w:rPr>
          <w:rFonts w:asciiTheme="minorHAnsi" w:hAnsiTheme="minorHAnsi" w:cstheme="minorHAnsi"/>
          <w:b w:val="0"/>
          <w:bCs w:val="0"/>
          <w:sz w:val="24"/>
          <w:szCs w:val="24"/>
        </w:rPr>
        <w:t xml:space="preserve">Under the agreement with each </w:t>
      </w:r>
      <w:r w:rsidR="001000D1" w:rsidRPr="001000D1">
        <w:rPr>
          <w:rFonts w:asciiTheme="minorHAnsi" w:hAnsiTheme="minorHAnsi" w:cstheme="minorHAnsi"/>
          <w:b w:val="0"/>
          <w:bCs w:val="0"/>
          <w:sz w:val="24"/>
          <w:szCs w:val="24"/>
        </w:rPr>
        <w:t>insurance</w:t>
      </w:r>
      <w:r w:rsidRPr="001000D1">
        <w:rPr>
          <w:rFonts w:asciiTheme="minorHAnsi" w:hAnsiTheme="minorHAnsi" w:cstheme="minorHAnsi"/>
          <w:b w:val="0"/>
          <w:bCs w:val="0"/>
          <w:sz w:val="24"/>
          <w:szCs w:val="24"/>
        </w:rPr>
        <w:t xml:space="preserve"> company, AC is paid a commission for selling the company’s annuity </w:t>
      </w:r>
      <w:r w:rsidR="001000D1" w:rsidRPr="001000D1">
        <w:rPr>
          <w:rFonts w:asciiTheme="minorHAnsi" w:hAnsiTheme="minorHAnsi" w:cstheme="minorHAnsi"/>
          <w:b w:val="0"/>
          <w:bCs w:val="0"/>
          <w:sz w:val="24"/>
          <w:szCs w:val="24"/>
        </w:rPr>
        <w:t>products-based</w:t>
      </w:r>
      <w:r w:rsidRPr="001000D1">
        <w:rPr>
          <w:rFonts w:asciiTheme="minorHAnsi" w:hAnsiTheme="minorHAnsi" w:cstheme="minorHAnsi"/>
          <w:b w:val="0"/>
          <w:bCs w:val="0"/>
          <w:sz w:val="24"/>
          <w:szCs w:val="24"/>
        </w:rPr>
        <w:t xml:space="preserve"> </w:t>
      </w:r>
      <w:r w:rsidR="006E69C6" w:rsidRPr="001000D1">
        <w:rPr>
          <w:rFonts w:asciiTheme="minorHAnsi" w:hAnsiTheme="minorHAnsi" w:cstheme="minorHAnsi"/>
          <w:b w:val="0"/>
          <w:bCs w:val="0"/>
          <w:sz w:val="24"/>
          <w:szCs w:val="24"/>
        </w:rPr>
        <w:t>on the</w:t>
      </w:r>
      <w:r w:rsidRPr="001000D1">
        <w:rPr>
          <w:rFonts w:asciiTheme="minorHAnsi" w:hAnsiTheme="minorHAnsi" w:cstheme="minorHAnsi"/>
          <w:b w:val="0"/>
          <w:bCs w:val="0"/>
          <w:sz w:val="24"/>
          <w:szCs w:val="24"/>
        </w:rPr>
        <w:t xml:space="preserve"> type of annuity and the amount of your annuity purchase payments.  Your AC Representative </w:t>
      </w:r>
      <w:proofErr w:type="gramStart"/>
      <w:r w:rsidRPr="001000D1">
        <w:rPr>
          <w:rFonts w:asciiTheme="minorHAnsi" w:hAnsiTheme="minorHAnsi" w:cstheme="minorHAnsi"/>
          <w:b w:val="0"/>
          <w:bCs w:val="0"/>
          <w:sz w:val="24"/>
          <w:szCs w:val="24"/>
        </w:rPr>
        <w:t>rec</w:t>
      </w:r>
      <w:r w:rsidR="001000D1" w:rsidRPr="001000D1">
        <w:rPr>
          <w:rFonts w:asciiTheme="minorHAnsi" w:hAnsiTheme="minorHAnsi" w:cstheme="minorHAnsi"/>
          <w:b w:val="0"/>
          <w:bCs w:val="0"/>
          <w:sz w:val="24"/>
          <w:szCs w:val="24"/>
        </w:rPr>
        <w:t>eives</w:t>
      </w:r>
      <w:proofErr w:type="gramEnd"/>
      <w:r w:rsidR="001000D1" w:rsidRPr="001000D1">
        <w:rPr>
          <w:rFonts w:asciiTheme="minorHAnsi" w:hAnsiTheme="minorHAnsi" w:cstheme="minorHAnsi"/>
          <w:b w:val="0"/>
          <w:bCs w:val="0"/>
          <w:sz w:val="24"/>
          <w:szCs w:val="24"/>
        </w:rPr>
        <w:t xml:space="preserve"> a portion of this payment.</w:t>
      </w:r>
    </w:p>
    <w:p w14:paraId="47FB9FC2" w14:textId="77777777" w:rsidR="001000D1" w:rsidRPr="001000D1" w:rsidRDefault="001000D1" w:rsidP="001000D1">
      <w:pPr>
        <w:pStyle w:val="Heading2"/>
        <w:ind w:left="720"/>
        <w:rPr>
          <w:rFonts w:asciiTheme="minorHAnsi" w:hAnsiTheme="minorHAnsi" w:cstheme="minorHAnsi"/>
          <w:b w:val="0"/>
          <w:bCs w:val="0"/>
          <w:sz w:val="24"/>
          <w:szCs w:val="24"/>
        </w:rPr>
      </w:pPr>
    </w:p>
    <w:p w14:paraId="2F5713AF" w14:textId="31D77279" w:rsidR="001000D1" w:rsidRPr="001000D1" w:rsidRDefault="001000D1" w:rsidP="00E12026">
      <w:pPr>
        <w:pStyle w:val="Heading2"/>
        <w:numPr>
          <w:ilvl w:val="0"/>
          <w:numId w:val="34"/>
        </w:numPr>
        <w:rPr>
          <w:rFonts w:asciiTheme="minorHAnsi" w:hAnsiTheme="minorHAnsi" w:cstheme="minorHAnsi"/>
          <w:b w:val="0"/>
          <w:bCs w:val="0"/>
          <w:sz w:val="24"/>
          <w:szCs w:val="24"/>
        </w:rPr>
      </w:pPr>
      <w:r w:rsidRPr="001000D1">
        <w:rPr>
          <w:rFonts w:asciiTheme="minorHAnsi" w:hAnsiTheme="minorHAnsi" w:cstheme="minorHAnsi"/>
          <w:b w:val="0"/>
          <w:bCs w:val="0"/>
          <w:sz w:val="24"/>
          <w:szCs w:val="24"/>
        </w:rPr>
        <w:t>AC also receives ongoing payments, known as residual or trail commissions, on invested assets that are held in your variable annuity to compensate for ongoing servicing.  The insurance company sets these ongoing payments, and AC generally pays a portion of these commissions to your AC Representative.</w:t>
      </w:r>
    </w:p>
    <w:p w14:paraId="66E22E7F" w14:textId="77777777" w:rsidR="00193633" w:rsidRPr="0066311C" w:rsidRDefault="00193633" w:rsidP="00B25079">
      <w:pPr>
        <w:pStyle w:val="Heading2"/>
        <w:ind w:left="0"/>
        <w:rPr>
          <w:rFonts w:asciiTheme="minorHAnsi" w:hAnsiTheme="minorHAnsi" w:cstheme="minorHAnsi"/>
          <w:sz w:val="24"/>
          <w:szCs w:val="24"/>
        </w:rPr>
      </w:pPr>
    </w:p>
    <w:p w14:paraId="7DF78263" w14:textId="4C7F7596" w:rsidR="00193633" w:rsidRDefault="00907430" w:rsidP="00B25079">
      <w:pPr>
        <w:pStyle w:val="Heading2"/>
        <w:ind w:left="0"/>
        <w:rPr>
          <w:rFonts w:asciiTheme="minorHAnsi" w:hAnsiTheme="minorHAnsi" w:cstheme="minorHAnsi"/>
          <w:b w:val="0"/>
          <w:bCs w:val="0"/>
          <w:sz w:val="24"/>
          <w:szCs w:val="24"/>
        </w:rPr>
      </w:pPr>
      <w:r w:rsidRPr="0066311C">
        <w:rPr>
          <w:rFonts w:asciiTheme="minorHAnsi" w:hAnsiTheme="minorHAnsi" w:cstheme="minorHAnsi"/>
          <w:b w:val="0"/>
          <w:bCs w:val="0"/>
          <w:sz w:val="24"/>
          <w:szCs w:val="24"/>
        </w:rPr>
        <w:t xml:space="preserve">Annuity commissions are determined by the </w:t>
      </w:r>
      <w:r w:rsidR="0066311C" w:rsidRPr="0066311C">
        <w:rPr>
          <w:rFonts w:asciiTheme="minorHAnsi" w:hAnsiTheme="minorHAnsi" w:cstheme="minorHAnsi"/>
          <w:b w:val="0"/>
          <w:bCs w:val="0"/>
          <w:sz w:val="24"/>
          <w:szCs w:val="24"/>
        </w:rPr>
        <w:t>type</w:t>
      </w:r>
      <w:r w:rsidRPr="0066311C">
        <w:rPr>
          <w:rFonts w:asciiTheme="minorHAnsi" w:hAnsiTheme="minorHAnsi" w:cstheme="minorHAnsi"/>
          <w:b w:val="0"/>
          <w:bCs w:val="0"/>
          <w:sz w:val="24"/>
          <w:szCs w:val="24"/>
        </w:rPr>
        <w:t xml:space="preserve"> of annuity product and the amount the corresponding insurance carrier decides to offer.  For AC, such commission amounts range from 1% to 5%, and trail payment amounts range from 0.25% to 1%. Typically, higher paying commission options offer low trail commissions. Conversely, lower paying commission</w:t>
      </w:r>
      <w:r w:rsidR="00557FC5" w:rsidRPr="0066311C">
        <w:rPr>
          <w:rFonts w:asciiTheme="minorHAnsi" w:hAnsiTheme="minorHAnsi" w:cstheme="minorHAnsi"/>
          <w:b w:val="0"/>
          <w:bCs w:val="0"/>
          <w:sz w:val="24"/>
          <w:szCs w:val="24"/>
        </w:rPr>
        <w:t xml:space="preserve"> amounts typically offer higher trail commission amounts.  Certain annuity </w:t>
      </w:r>
      <w:r w:rsidR="0066311C" w:rsidRPr="0066311C">
        <w:rPr>
          <w:rFonts w:asciiTheme="minorHAnsi" w:hAnsiTheme="minorHAnsi" w:cstheme="minorHAnsi"/>
          <w:b w:val="0"/>
          <w:bCs w:val="0"/>
          <w:sz w:val="24"/>
          <w:szCs w:val="24"/>
        </w:rPr>
        <w:t>contracts</w:t>
      </w:r>
      <w:r w:rsidR="00557FC5" w:rsidRPr="0066311C">
        <w:rPr>
          <w:rFonts w:asciiTheme="minorHAnsi" w:hAnsiTheme="minorHAnsi" w:cstheme="minorHAnsi"/>
          <w:b w:val="0"/>
          <w:bCs w:val="0"/>
          <w:sz w:val="24"/>
          <w:szCs w:val="24"/>
        </w:rPr>
        <w:t xml:space="preserve"> offer multiple share class options which can impact pricing and availab</w:t>
      </w:r>
      <w:r w:rsidR="0066311C" w:rsidRPr="0066311C">
        <w:rPr>
          <w:rFonts w:asciiTheme="minorHAnsi" w:hAnsiTheme="minorHAnsi" w:cstheme="minorHAnsi"/>
          <w:b w:val="0"/>
          <w:bCs w:val="0"/>
          <w:sz w:val="24"/>
          <w:szCs w:val="24"/>
        </w:rPr>
        <w:t xml:space="preserve">ility of certain insurance benefits.  </w:t>
      </w:r>
    </w:p>
    <w:p w14:paraId="2EAED6BD" w14:textId="0470D719" w:rsidR="00047B1A" w:rsidRDefault="00047B1A" w:rsidP="00B25079">
      <w:pPr>
        <w:pStyle w:val="Heading2"/>
        <w:ind w:left="0"/>
        <w:rPr>
          <w:rFonts w:asciiTheme="minorHAnsi" w:hAnsiTheme="minorHAnsi" w:cstheme="minorHAnsi"/>
          <w:b w:val="0"/>
          <w:bCs w:val="0"/>
          <w:sz w:val="24"/>
          <w:szCs w:val="24"/>
        </w:rPr>
      </w:pPr>
    </w:p>
    <w:p w14:paraId="330A1869" w14:textId="226C8961" w:rsidR="00193633" w:rsidRDefault="00047B1A" w:rsidP="00B25079">
      <w:pPr>
        <w:pStyle w:val="Heading2"/>
        <w:ind w:left="0"/>
        <w:rPr>
          <w:rFonts w:asciiTheme="minorHAnsi" w:hAnsiTheme="minorHAnsi" w:cstheme="minorHAnsi"/>
          <w:sz w:val="24"/>
          <w:szCs w:val="24"/>
        </w:rPr>
      </w:pPr>
      <w:proofErr w:type="spellStart"/>
      <w:r w:rsidRPr="00047B1A">
        <w:rPr>
          <w:rFonts w:asciiTheme="minorHAnsi" w:hAnsiTheme="minorHAnsi" w:cstheme="minorHAnsi"/>
          <w:sz w:val="24"/>
          <w:szCs w:val="24"/>
        </w:rPr>
        <w:t>Arkadios</w:t>
      </w:r>
      <w:proofErr w:type="spellEnd"/>
      <w:r w:rsidRPr="00047B1A">
        <w:rPr>
          <w:rFonts w:asciiTheme="minorHAnsi" w:hAnsiTheme="minorHAnsi" w:cstheme="minorHAnsi"/>
          <w:sz w:val="24"/>
          <w:szCs w:val="24"/>
        </w:rPr>
        <w:t xml:space="preserve"> Capital and AC Representatives Annuity Compensation, Conflicts of Interest </w:t>
      </w:r>
    </w:p>
    <w:p w14:paraId="6665AAC8" w14:textId="28CC72BD" w:rsidR="005E3DD7" w:rsidRDefault="00047B1A" w:rsidP="00B25079">
      <w:pPr>
        <w:pStyle w:val="Heading2"/>
        <w:ind w:left="0"/>
        <w:rPr>
          <w:rFonts w:asciiTheme="minorHAnsi" w:hAnsiTheme="minorHAnsi" w:cstheme="minorHAnsi"/>
          <w:b w:val="0"/>
          <w:bCs w:val="0"/>
          <w:sz w:val="24"/>
          <w:szCs w:val="24"/>
        </w:rPr>
      </w:pPr>
      <w:r w:rsidRPr="005E3DD7">
        <w:rPr>
          <w:rFonts w:asciiTheme="minorHAnsi" w:hAnsiTheme="minorHAnsi" w:cstheme="minorHAnsi"/>
          <w:b w:val="0"/>
          <w:bCs w:val="0"/>
          <w:sz w:val="24"/>
          <w:szCs w:val="24"/>
        </w:rPr>
        <w:t xml:space="preserve">Some insurance </w:t>
      </w:r>
      <w:r w:rsidR="005E3DD7" w:rsidRPr="005E3DD7">
        <w:rPr>
          <w:rFonts w:asciiTheme="minorHAnsi" w:hAnsiTheme="minorHAnsi" w:cstheme="minorHAnsi"/>
          <w:b w:val="0"/>
          <w:bCs w:val="0"/>
          <w:sz w:val="24"/>
          <w:szCs w:val="24"/>
        </w:rPr>
        <w:t>companies</w:t>
      </w:r>
      <w:r w:rsidRPr="005E3DD7">
        <w:rPr>
          <w:rFonts w:asciiTheme="minorHAnsi" w:hAnsiTheme="minorHAnsi" w:cstheme="minorHAnsi"/>
          <w:b w:val="0"/>
          <w:bCs w:val="0"/>
          <w:sz w:val="24"/>
          <w:szCs w:val="24"/>
        </w:rPr>
        <w:t xml:space="preserve"> pay AC and your AC Representative higher compensation </w:t>
      </w:r>
      <w:r w:rsidR="005E3DD7" w:rsidRPr="005E3DD7">
        <w:rPr>
          <w:rFonts w:asciiTheme="minorHAnsi" w:hAnsiTheme="minorHAnsi" w:cstheme="minorHAnsi"/>
          <w:b w:val="0"/>
          <w:bCs w:val="0"/>
          <w:sz w:val="24"/>
          <w:szCs w:val="24"/>
        </w:rPr>
        <w:t>than</w:t>
      </w:r>
      <w:r w:rsidRPr="005E3DD7">
        <w:rPr>
          <w:rFonts w:asciiTheme="minorHAnsi" w:hAnsiTheme="minorHAnsi" w:cstheme="minorHAnsi"/>
          <w:b w:val="0"/>
          <w:bCs w:val="0"/>
          <w:sz w:val="24"/>
          <w:szCs w:val="24"/>
        </w:rPr>
        <w:t xml:space="preserve"> other companies for sales of annuities. This creates a</w:t>
      </w:r>
      <w:r w:rsidR="005E3DD7" w:rsidRPr="005E3DD7">
        <w:rPr>
          <w:rFonts w:asciiTheme="minorHAnsi" w:hAnsiTheme="minorHAnsi" w:cstheme="minorHAnsi"/>
          <w:b w:val="0"/>
          <w:bCs w:val="0"/>
          <w:sz w:val="24"/>
          <w:szCs w:val="24"/>
        </w:rPr>
        <w:t xml:space="preserve">n incentive for AC Representatives to sell certain annuities because the recommendation of a particular annuity will result in a higher compensation amount to </w:t>
      </w:r>
      <w:r w:rsidR="008B4EE5">
        <w:rPr>
          <w:rFonts w:asciiTheme="minorHAnsi" w:hAnsiTheme="minorHAnsi" w:cstheme="minorHAnsi"/>
          <w:b w:val="0"/>
          <w:bCs w:val="0"/>
          <w:sz w:val="24"/>
          <w:szCs w:val="24"/>
        </w:rPr>
        <w:t>an</w:t>
      </w:r>
      <w:r w:rsidR="005E3DD7" w:rsidRPr="005E3DD7">
        <w:rPr>
          <w:rFonts w:asciiTheme="minorHAnsi" w:hAnsiTheme="minorHAnsi" w:cstheme="minorHAnsi"/>
          <w:b w:val="0"/>
          <w:bCs w:val="0"/>
          <w:sz w:val="24"/>
          <w:szCs w:val="24"/>
        </w:rPr>
        <w:t xml:space="preserve"> AC Representative than the recommendation of another annuity type.  AC mitigates this conflict of interest by disclosing it to our clients and by supervising AC Representative’s annuity recommendations. However, AC cannot eliminate this conflict of interest as it is inherent in the business model of a typical insurance broker to be compensated with its annuity brokerage services. </w:t>
      </w:r>
    </w:p>
    <w:p w14:paraId="465A7408" w14:textId="172239AA" w:rsidR="00E94CFF" w:rsidRDefault="00E94CFF" w:rsidP="00B25079">
      <w:pPr>
        <w:pStyle w:val="Heading2"/>
        <w:ind w:left="0"/>
        <w:rPr>
          <w:rFonts w:asciiTheme="minorHAnsi" w:hAnsiTheme="minorHAnsi" w:cstheme="minorHAnsi"/>
          <w:b w:val="0"/>
          <w:bCs w:val="0"/>
          <w:sz w:val="24"/>
          <w:szCs w:val="24"/>
        </w:rPr>
      </w:pPr>
    </w:p>
    <w:p w14:paraId="170AF1AC" w14:textId="4D5BEB01" w:rsidR="00E94CFF" w:rsidRDefault="00E94CFF" w:rsidP="00E94CFF">
      <w:pPr>
        <w:pStyle w:val="Heading2"/>
        <w:numPr>
          <w:ilvl w:val="0"/>
          <w:numId w:val="32"/>
        </w:numPr>
        <w:rPr>
          <w:rFonts w:asciiTheme="minorHAnsi" w:hAnsiTheme="minorHAnsi" w:cstheme="minorHAnsi"/>
          <w:sz w:val="24"/>
          <w:szCs w:val="24"/>
        </w:rPr>
      </w:pPr>
      <w:r w:rsidRPr="003C2523">
        <w:rPr>
          <w:rFonts w:asciiTheme="minorHAnsi" w:hAnsiTheme="minorHAnsi" w:cstheme="minorHAnsi"/>
          <w:sz w:val="24"/>
          <w:szCs w:val="24"/>
        </w:rPr>
        <w:t>Investing in a 529 Plan</w:t>
      </w:r>
    </w:p>
    <w:p w14:paraId="407DD773" w14:textId="370EDD3A" w:rsidR="0078537C" w:rsidRDefault="003C2523" w:rsidP="003C2523">
      <w:pPr>
        <w:pStyle w:val="Heading2"/>
        <w:ind w:left="0"/>
        <w:rPr>
          <w:rFonts w:asciiTheme="minorHAnsi" w:hAnsiTheme="minorHAnsi" w:cstheme="minorHAnsi"/>
          <w:b w:val="0"/>
          <w:bCs w:val="0"/>
          <w:sz w:val="24"/>
          <w:szCs w:val="24"/>
        </w:rPr>
      </w:pPr>
      <w:r w:rsidRPr="00441068">
        <w:rPr>
          <w:rFonts w:asciiTheme="minorHAnsi" w:hAnsiTheme="minorHAnsi" w:cstheme="minorHAnsi"/>
          <w:b w:val="0"/>
          <w:bCs w:val="0"/>
          <w:sz w:val="24"/>
          <w:szCs w:val="24"/>
        </w:rPr>
        <w:t>A 529 plan is a tax-advantaged savings plan designed to encourage saving for future education costs.  Most 529 plans offer investment portfolios consisting of mutual funds or exchange traded funds (“ETFs</w:t>
      </w:r>
      <w:r w:rsidR="00BE6171">
        <w:rPr>
          <w:rFonts w:asciiTheme="minorHAnsi" w:hAnsiTheme="minorHAnsi" w:cstheme="minorHAnsi"/>
          <w:b w:val="0"/>
          <w:bCs w:val="0"/>
          <w:sz w:val="24"/>
          <w:szCs w:val="24"/>
        </w:rPr>
        <w:t>”</w:t>
      </w:r>
      <w:r w:rsidRPr="00441068">
        <w:rPr>
          <w:rFonts w:asciiTheme="minorHAnsi" w:hAnsiTheme="minorHAnsi" w:cstheme="minorHAnsi"/>
          <w:b w:val="0"/>
          <w:bCs w:val="0"/>
          <w:sz w:val="24"/>
          <w:szCs w:val="24"/>
        </w:rPr>
        <w:t xml:space="preserve">).  </w:t>
      </w:r>
      <w:r w:rsidR="00A565A1">
        <w:rPr>
          <w:rFonts w:asciiTheme="minorHAnsi" w:hAnsiTheme="minorHAnsi" w:cstheme="minorHAnsi"/>
          <w:b w:val="0"/>
          <w:bCs w:val="0"/>
          <w:sz w:val="24"/>
          <w:szCs w:val="24"/>
        </w:rPr>
        <w:t xml:space="preserve">A 529 plan can offer more than one share class to </w:t>
      </w:r>
      <w:r w:rsidR="001474A7">
        <w:rPr>
          <w:rFonts w:asciiTheme="minorHAnsi" w:hAnsiTheme="minorHAnsi" w:cstheme="minorHAnsi"/>
          <w:b w:val="0"/>
          <w:bCs w:val="0"/>
          <w:sz w:val="24"/>
          <w:szCs w:val="24"/>
        </w:rPr>
        <w:t>investors</w:t>
      </w:r>
      <w:r w:rsidR="00A565A1">
        <w:rPr>
          <w:rFonts w:asciiTheme="minorHAnsi" w:hAnsiTheme="minorHAnsi" w:cstheme="minorHAnsi"/>
          <w:b w:val="0"/>
          <w:bCs w:val="0"/>
          <w:sz w:val="24"/>
          <w:szCs w:val="24"/>
        </w:rPr>
        <w:t xml:space="preserve"> and each class has different fees and expenses.  Distributions that are used for qualified education expenses are </w:t>
      </w:r>
      <w:r w:rsidR="0078537C">
        <w:rPr>
          <w:rFonts w:asciiTheme="minorHAnsi" w:hAnsiTheme="minorHAnsi" w:cstheme="minorHAnsi"/>
          <w:b w:val="0"/>
          <w:bCs w:val="0"/>
          <w:sz w:val="24"/>
          <w:szCs w:val="24"/>
        </w:rPr>
        <w:t xml:space="preserve">not </w:t>
      </w:r>
      <w:r w:rsidR="001474A7">
        <w:rPr>
          <w:rFonts w:asciiTheme="minorHAnsi" w:hAnsiTheme="minorHAnsi" w:cstheme="minorHAnsi"/>
          <w:b w:val="0"/>
          <w:bCs w:val="0"/>
          <w:sz w:val="24"/>
          <w:szCs w:val="24"/>
        </w:rPr>
        <w:t>taxed</w:t>
      </w:r>
      <w:r w:rsidR="00A565A1">
        <w:rPr>
          <w:rFonts w:asciiTheme="minorHAnsi" w:hAnsiTheme="minorHAnsi" w:cstheme="minorHAnsi"/>
          <w:b w:val="0"/>
          <w:bCs w:val="0"/>
          <w:sz w:val="24"/>
          <w:szCs w:val="24"/>
        </w:rPr>
        <w:t xml:space="preserve"> </w:t>
      </w:r>
      <w:r w:rsidR="001474A7">
        <w:rPr>
          <w:rFonts w:asciiTheme="minorHAnsi" w:hAnsiTheme="minorHAnsi" w:cstheme="minorHAnsi"/>
          <w:b w:val="0"/>
          <w:bCs w:val="0"/>
          <w:sz w:val="24"/>
          <w:szCs w:val="24"/>
        </w:rPr>
        <w:t>at</w:t>
      </w:r>
      <w:r w:rsidR="00A565A1">
        <w:rPr>
          <w:rFonts w:asciiTheme="minorHAnsi" w:hAnsiTheme="minorHAnsi" w:cstheme="minorHAnsi"/>
          <w:b w:val="0"/>
          <w:bCs w:val="0"/>
          <w:sz w:val="24"/>
          <w:szCs w:val="24"/>
        </w:rPr>
        <w:t xml:space="preserve"> the federal level</w:t>
      </w:r>
      <w:r w:rsidR="0078537C">
        <w:rPr>
          <w:rFonts w:asciiTheme="minorHAnsi" w:hAnsiTheme="minorHAnsi" w:cstheme="minorHAnsi"/>
          <w:b w:val="0"/>
          <w:bCs w:val="0"/>
          <w:sz w:val="24"/>
          <w:szCs w:val="24"/>
        </w:rPr>
        <w:t>.</w:t>
      </w:r>
      <w:r w:rsidR="00A565A1">
        <w:rPr>
          <w:rFonts w:asciiTheme="minorHAnsi" w:hAnsiTheme="minorHAnsi" w:cstheme="minorHAnsi"/>
          <w:b w:val="0"/>
          <w:bCs w:val="0"/>
          <w:sz w:val="24"/>
          <w:szCs w:val="24"/>
        </w:rPr>
        <w:t xml:space="preserve"> If you withdraw</w:t>
      </w:r>
      <w:r w:rsidR="00762975">
        <w:rPr>
          <w:rFonts w:asciiTheme="minorHAnsi" w:hAnsiTheme="minorHAnsi" w:cstheme="minorHAnsi"/>
          <w:b w:val="0"/>
          <w:bCs w:val="0"/>
          <w:sz w:val="24"/>
          <w:szCs w:val="24"/>
        </w:rPr>
        <w:t xml:space="preserve"> money for something other than educational expenses, you will owe federal income </w:t>
      </w:r>
      <w:r w:rsidR="001474A7">
        <w:rPr>
          <w:rFonts w:asciiTheme="minorHAnsi" w:hAnsiTheme="minorHAnsi" w:cstheme="minorHAnsi"/>
          <w:b w:val="0"/>
          <w:bCs w:val="0"/>
          <w:sz w:val="24"/>
          <w:szCs w:val="24"/>
        </w:rPr>
        <w:t>tax</w:t>
      </w:r>
      <w:r w:rsidR="00762975">
        <w:rPr>
          <w:rFonts w:asciiTheme="minorHAnsi" w:hAnsiTheme="minorHAnsi" w:cstheme="minorHAnsi"/>
          <w:b w:val="0"/>
          <w:bCs w:val="0"/>
          <w:sz w:val="24"/>
          <w:szCs w:val="24"/>
        </w:rPr>
        <w:t xml:space="preserve"> earnings and can face a 10% federal tax penalty.  </w:t>
      </w:r>
      <w:r w:rsidR="00D26881">
        <w:rPr>
          <w:rFonts w:asciiTheme="minorHAnsi" w:hAnsiTheme="minorHAnsi" w:cstheme="minorHAnsi"/>
          <w:b w:val="0"/>
          <w:bCs w:val="0"/>
          <w:sz w:val="24"/>
          <w:szCs w:val="24"/>
        </w:rPr>
        <w:t>529 plan</w:t>
      </w:r>
      <w:r w:rsidR="00E722DE">
        <w:rPr>
          <w:rFonts w:asciiTheme="minorHAnsi" w:hAnsiTheme="minorHAnsi" w:cstheme="minorHAnsi"/>
          <w:b w:val="0"/>
          <w:bCs w:val="0"/>
          <w:sz w:val="24"/>
          <w:szCs w:val="24"/>
        </w:rPr>
        <w:t xml:space="preserve">s offered by each state differ both in features and benefits. Some states offer residents an incentive in their state-sponsored 529 college savings </w:t>
      </w:r>
      <w:r w:rsidR="0078537C">
        <w:rPr>
          <w:rFonts w:asciiTheme="minorHAnsi" w:hAnsiTheme="minorHAnsi" w:cstheme="minorHAnsi"/>
          <w:b w:val="0"/>
          <w:bCs w:val="0"/>
          <w:sz w:val="24"/>
          <w:szCs w:val="24"/>
        </w:rPr>
        <w:t>plans</w:t>
      </w:r>
      <w:r w:rsidR="00E722DE">
        <w:rPr>
          <w:rFonts w:asciiTheme="minorHAnsi" w:hAnsiTheme="minorHAnsi" w:cstheme="minorHAnsi"/>
          <w:b w:val="0"/>
          <w:bCs w:val="0"/>
          <w:sz w:val="24"/>
          <w:szCs w:val="24"/>
        </w:rPr>
        <w:t xml:space="preserve"> by offering state tax benefits. </w:t>
      </w:r>
      <w:r w:rsidR="003B6576">
        <w:rPr>
          <w:rFonts w:asciiTheme="minorHAnsi" w:hAnsiTheme="minorHAnsi" w:cstheme="minorHAnsi"/>
          <w:b w:val="0"/>
          <w:bCs w:val="0"/>
          <w:sz w:val="24"/>
          <w:szCs w:val="24"/>
        </w:rPr>
        <w:t xml:space="preserve">State-tax treatment of college savings plan contributions, earnings and withdrawals vary from state to state.  By investing in a plan outside your state of residence, you can potentially lose certain state tax benefits. </w:t>
      </w:r>
      <w:r w:rsidR="001474A7">
        <w:rPr>
          <w:rFonts w:asciiTheme="minorHAnsi" w:hAnsiTheme="minorHAnsi" w:cstheme="minorHAnsi"/>
          <w:b w:val="0"/>
          <w:bCs w:val="0"/>
          <w:sz w:val="24"/>
          <w:szCs w:val="24"/>
        </w:rPr>
        <w:t xml:space="preserve">529 plans are subject to </w:t>
      </w:r>
      <w:r w:rsidR="0078537C">
        <w:rPr>
          <w:rFonts w:asciiTheme="minorHAnsi" w:hAnsiTheme="minorHAnsi" w:cstheme="minorHAnsi"/>
          <w:b w:val="0"/>
          <w:bCs w:val="0"/>
          <w:sz w:val="24"/>
          <w:szCs w:val="24"/>
        </w:rPr>
        <w:t>enrollm</w:t>
      </w:r>
      <w:r w:rsidR="001474A7">
        <w:rPr>
          <w:rFonts w:asciiTheme="minorHAnsi" w:hAnsiTheme="minorHAnsi" w:cstheme="minorHAnsi"/>
          <w:b w:val="0"/>
          <w:bCs w:val="0"/>
          <w:sz w:val="24"/>
          <w:szCs w:val="24"/>
        </w:rPr>
        <w:t xml:space="preserve">ent, maintenance, administration, and management fees and expenses.  The sales charges of our 529 plan offerings range from 0% to 5.75%. The range of 12B-1 fees (shareholder </w:t>
      </w:r>
      <w:r w:rsidR="0078537C">
        <w:rPr>
          <w:rFonts w:asciiTheme="minorHAnsi" w:hAnsiTheme="minorHAnsi" w:cstheme="minorHAnsi"/>
          <w:b w:val="0"/>
          <w:bCs w:val="0"/>
          <w:sz w:val="24"/>
          <w:szCs w:val="24"/>
        </w:rPr>
        <w:t>servicing</w:t>
      </w:r>
      <w:r w:rsidR="001474A7">
        <w:rPr>
          <w:rFonts w:asciiTheme="minorHAnsi" w:hAnsiTheme="minorHAnsi" w:cstheme="minorHAnsi"/>
          <w:b w:val="0"/>
          <w:bCs w:val="0"/>
          <w:sz w:val="24"/>
          <w:szCs w:val="24"/>
        </w:rPr>
        <w:t xml:space="preserve"> fees) can range from 0% to 1%</w:t>
      </w:r>
      <w:r w:rsidR="004B5106">
        <w:rPr>
          <w:rFonts w:asciiTheme="minorHAnsi" w:hAnsiTheme="minorHAnsi" w:cstheme="minorHAnsi"/>
          <w:b w:val="0"/>
          <w:bCs w:val="0"/>
          <w:sz w:val="24"/>
          <w:szCs w:val="24"/>
        </w:rPr>
        <w:t>.</w:t>
      </w:r>
    </w:p>
    <w:p w14:paraId="35A9B8D5" w14:textId="77777777" w:rsidR="00133792" w:rsidRDefault="00133792" w:rsidP="003C2523">
      <w:pPr>
        <w:pStyle w:val="Heading2"/>
        <w:ind w:left="0"/>
        <w:rPr>
          <w:rFonts w:asciiTheme="minorHAnsi" w:hAnsiTheme="minorHAnsi" w:cstheme="minorHAnsi"/>
          <w:b w:val="0"/>
          <w:bCs w:val="0"/>
          <w:sz w:val="24"/>
          <w:szCs w:val="24"/>
        </w:rPr>
      </w:pPr>
    </w:p>
    <w:p w14:paraId="5D37EBE9" w14:textId="1B0F4C77" w:rsidR="0078537C" w:rsidRPr="00133792" w:rsidRDefault="0078537C" w:rsidP="003C2523">
      <w:pPr>
        <w:pStyle w:val="Heading2"/>
        <w:ind w:left="0"/>
        <w:rPr>
          <w:rFonts w:asciiTheme="minorHAnsi" w:hAnsiTheme="minorHAnsi" w:cstheme="minorHAnsi"/>
          <w:sz w:val="24"/>
          <w:szCs w:val="24"/>
        </w:rPr>
      </w:pPr>
      <w:proofErr w:type="spellStart"/>
      <w:r w:rsidRPr="00133792">
        <w:rPr>
          <w:rFonts w:asciiTheme="minorHAnsi" w:hAnsiTheme="minorHAnsi" w:cstheme="minorHAnsi"/>
          <w:sz w:val="24"/>
          <w:szCs w:val="24"/>
        </w:rPr>
        <w:t>Arkadios</w:t>
      </w:r>
      <w:proofErr w:type="spellEnd"/>
      <w:r w:rsidRPr="00133792">
        <w:rPr>
          <w:rFonts w:asciiTheme="minorHAnsi" w:hAnsiTheme="minorHAnsi" w:cstheme="minorHAnsi"/>
          <w:sz w:val="24"/>
          <w:szCs w:val="24"/>
        </w:rPr>
        <w:t xml:space="preserve"> Capital and AC </w:t>
      </w:r>
      <w:r w:rsidR="006A252B" w:rsidRPr="00133792">
        <w:rPr>
          <w:rFonts w:asciiTheme="minorHAnsi" w:hAnsiTheme="minorHAnsi" w:cstheme="minorHAnsi"/>
          <w:sz w:val="24"/>
          <w:szCs w:val="24"/>
        </w:rPr>
        <w:t>Representative</w:t>
      </w:r>
      <w:r w:rsidRPr="00133792">
        <w:rPr>
          <w:rFonts w:asciiTheme="minorHAnsi" w:hAnsiTheme="minorHAnsi" w:cstheme="minorHAnsi"/>
          <w:sz w:val="24"/>
          <w:szCs w:val="24"/>
        </w:rPr>
        <w:t xml:space="preserve"> 529 Plan Compensation and Conflicts of Interest</w:t>
      </w:r>
    </w:p>
    <w:p w14:paraId="74CE5670" w14:textId="7E9E0B14" w:rsidR="0078537C" w:rsidRPr="00441068" w:rsidRDefault="0078537C" w:rsidP="003C2523">
      <w:pPr>
        <w:pStyle w:val="Heading2"/>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Some 529 sponsors pay AC and </w:t>
      </w:r>
      <w:r w:rsidR="006E69C6">
        <w:rPr>
          <w:rFonts w:asciiTheme="minorHAnsi" w:hAnsiTheme="minorHAnsi" w:cstheme="minorHAnsi"/>
          <w:b w:val="0"/>
          <w:bCs w:val="0"/>
          <w:sz w:val="24"/>
          <w:szCs w:val="24"/>
        </w:rPr>
        <w:t>your</w:t>
      </w:r>
      <w:r>
        <w:rPr>
          <w:rFonts w:asciiTheme="minorHAnsi" w:hAnsiTheme="minorHAnsi" w:cstheme="minorHAnsi"/>
          <w:b w:val="0"/>
          <w:bCs w:val="0"/>
          <w:sz w:val="24"/>
          <w:szCs w:val="24"/>
        </w:rPr>
        <w:t xml:space="preserve"> AC </w:t>
      </w:r>
      <w:r w:rsidR="006A252B">
        <w:rPr>
          <w:rFonts w:asciiTheme="minorHAnsi" w:hAnsiTheme="minorHAnsi" w:cstheme="minorHAnsi"/>
          <w:b w:val="0"/>
          <w:bCs w:val="0"/>
          <w:sz w:val="24"/>
          <w:szCs w:val="24"/>
        </w:rPr>
        <w:t>Representative</w:t>
      </w:r>
      <w:r>
        <w:rPr>
          <w:rFonts w:asciiTheme="minorHAnsi" w:hAnsiTheme="minorHAnsi" w:cstheme="minorHAnsi"/>
          <w:b w:val="0"/>
          <w:bCs w:val="0"/>
          <w:sz w:val="24"/>
          <w:szCs w:val="24"/>
        </w:rPr>
        <w:t xml:space="preserve"> higher compensation than other companies for sales of 529 plans.</w:t>
      </w:r>
      <w:r w:rsidR="00423722">
        <w:rPr>
          <w:rFonts w:asciiTheme="minorHAnsi" w:hAnsiTheme="minorHAnsi" w:cstheme="minorHAnsi"/>
          <w:b w:val="0"/>
          <w:bCs w:val="0"/>
          <w:sz w:val="24"/>
          <w:szCs w:val="24"/>
        </w:rPr>
        <w:t xml:space="preserve"> This creates an incentive for AC Representatives to sell certain 529 plans because the recommendation of a particular plan will result in a higher compensation amount to a</w:t>
      </w:r>
      <w:r w:rsidR="006A252B">
        <w:rPr>
          <w:rFonts w:asciiTheme="minorHAnsi" w:hAnsiTheme="minorHAnsi" w:cstheme="minorHAnsi"/>
          <w:b w:val="0"/>
          <w:bCs w:val="0"/>
          <w:sz w:val="24"/>
          <w:szCs w:val="24"/>
        </w:rPr>
        <w:t>n</w:t>
      </w:r>
      <w:r w:rsidR="00423722">
        <w:rPr>
          <w:rFonts w:asciiTheme="minorHAnsi" w:hAnsiTheme="minorHAnsi" w:cstheme="minorHAnsi"/>
          <w:b w:val="0"/>
          <w:bCs w:val="0"/>
          <w:sz w:val="24"/>
          <w:szCs w:val="24"/>
        </w:rPr>
        <w:t xml:space="preserve"> AC Representative than the recommendation </w:t>
      </w:r>
      <w:r w:rsidR="00EF6B54">
        <w:rPr>
          <w:rFonts w:asciiTheme="minorHAnsi" w:hAnsiTheme="minorHAnsi" w:cstheme="minorHAnsi"/>
          <w:b w:val="0"/>
          <w:bCs w:val="0"/>
          <w:sz w:val="24"/>
          <w:szCs w:val="24"/>
        </w:rPr>
        <w:t xml:space="preserve">of another similar 529 plan.  AC mitigates </w:t>
      </w:r>
      <w:r w:rsidR="006A252B">
        <w:rPr>
          <w:rFonts w:asciiTheme="minorHAnsi" w:hAnsiTheme="minorHAnsi" w:cstheme="minorHAnsi"/>
          <w:b w:val="0"/>
          <w:bCs w:val="0"/>
          <w:sz w:val="24"/>
          <w:szCs w:val="24"/>
        </w:rPr>
        <w:t>this</w:t>
      </w:r>
      <w:r w:rsidR="00EF6B54">
        <w:rPr>
          <w:rFonts w:asciiTheme="minorHAnsi" w:hAnsiTheme="minorHAnsi" w:cstheme="minorHAnsi"/>
          <w:b w:val="0"/>
          <w:bCs w:val="0"/>
          <w:sz w:val="24"/>
          <w:szCs w:val="24"/>
        </w:rPr>
        <w:t xml:space="preserve"> conflict of interest by disclosing it to its clients and by supervising AC Representatives </w:t>
      </w:r>
      <w:r w:rsidR="006A252B">
        <w:rPr>
          <w:rFonts w:asciiTheme="minorHAnsi" w:hAnsiTheme="minorHAnsi" w:cstheme="minorHAnsi"/>
          <w:b w:val="0"/>
          <w:bCs w:val="0"/>
          <w:sz w:val="24"/>
          <w:szCs w:val="24"/>
        </w:rPr>
        <w:t xml:space="preserve">recommendations. However, AC cannot eliminate this conflict of interest as it is inherent in the business model of a typical 529 plan. </w:t>
      </w:r>
    </w:p>
    <w:p w14:paraId="62EC096B" w14:textId="77777777" w:rsidR="00E94CFF" w:rsidRPr="00441068" w:rsidRDefault="00E94CFF" w:rsidP="00AF1E6E">
      <w:pPr>
        <w:pStyle w:val="Heading2"/>
        <w:rPr>
          <w:rFonts w:asciiTheme="minorHAnsi" w:hAnsiTheme="minorHAnsi" w:cstheme="minorHAnsi"/>
          <w:b w:val="0"/>
          <w:bCs w:val="0"/>
          <w:sz w:val="24"/>
          <w:szCs w:val="24"/>
        </w:rPr>
      </w:pPr>
    </w:p>
    <w:tbl>
      <w:tblPr>
        <w:tblW w:w="15865" w:type="dxa"/>
        <w:tblInd w:w="-108" w:type="dxa"/>
        <w:tblBorders>
          <w:top w:val="nil"/>
          <w:left w:val="nil"/>
          <w:bottom w:val="nil"/>
          <w:right w:val="nil"/>
        </w:tblBorders>
        <w:tblLayout w:type="fixed"/>
        <w:tblLook w:val="0000" w:firstRow="0" w:lastRow="0" w:firstColumn="0" w:lastColumn="0" w:noHBand="0" w:noVBand="0"/>
      </w:tblPr>
      <w:tblGrid>
        <w:gridCol w:w="2297"/>
        <w:gridCol w:w="7441"/>
        <w:gridCol w:w="1532"/>
        <w:gridCol w:w="1531"/>
        <w:gridCol w:w="766"/>
        <w:gridCol w:w="2298"/>
      </w:tblGrid>
      <w:tr w:rsidR="00BD41FD" w:rsidRPr="00A626F1" w14:paraId="62D934FB" w14:textId="77777777" w:rsidTr="00B958C8">
        <w:trPr>
          <w:trHeight w:val="87"/>
        </w:trPr>
        <w:tc>
          <w:tcPr>
            <w:tcW w:w="9738" w:type="dxa"/>
            <w:gridSpan w:val="2"/>
          </w:tcPr>
          <w:p w14:paraId="338793A3" w14:textId="13604A33" w:rsidR="00BD41FD" w:rsidRPr="004F1072" w:rsidRDefault="00174EC0" w:rsidP="00441068">
            <w:pPr>
              <w:pStyle w:val="Heading2"/>
              <w:numPr>
                <w:ilvl w:val="0"/>
                <w:numId w:val="32"/>
              </w:numPr>
              <w:rPr>
                <w:rFonts w:asciiTheme="minorHAnsi" w:hAnsiTheme="minorHAnsi" w:cstheme="minorHAnsi"/>
                <w:sz w:val="24"/>
                <w:szCs w:val="24"/>
              </w:rPr>
            </w:pPr>
            <w:bookmarkStart w:id="5" w:name="_Toc32246239"/>
            <w:bookmarkEnd w:id="4"/>
            <w:r w:rsidRPr="004F1072">
              <w:rPr>
                <w:rFonts w:asciiTheme="minorHAnsi" w:hAnsiTheme="minorHAnsi" w:cstheme="minorHAnsi"/>
                <w:sz w:val="24"/>
                <w:szCs w:val="24"/>
              </w:rPr>
              <w:t xml:space="preserve">Investing in Structured Products Including </w:t>
            </w:r>
            <w:r w:rsidR="00BD41FD" w:rsidRPr="004F1072">
              <w:rPr>
                <w:rFonts w:asciiTheme="minorHAnsi" w:hAnsiTheme="minorHAnsi" w:cstheme="minorHAnsi"/>
                <w:sz w:val="24"/>
                <w:szCs w:val="24"/>
              </w:rPr>
              <w:t xml:space="preserve">Market-Linked Investments </w:t>
            </w:r>
            <w:bookmarkEnd w:id="5"/>
          </w:p>
          <w:p w14:paraId="110B7589" w14:textId="4C1F6BE5" w:rsidR="00424AA3" w:rsidRPr="004F1072" w:rsidRDefault="00424AA3" w:rsidP="00800736">
            <w:pPr>
              <w:pStyle w:val="Heading2"/>
              <w:ind w:left="0"/>
              <w:rPr>
                <w:rFonts w:asciiTheme="minorHAnsi" w:hAnsiTheme="minorHAnsi" w:cstheme="minorHAnsi"/>
                <w:b w:val="0"/>
                <w:bCs w:val="0"/>
                <w:sz w:val="24"/>
                <w:szCs w:val="24"/>
              </w:rPr>
            </w:pPr>
            <w:r w:rsidRPr="004F1072">
              <w:rPr>
                <w:rFonts w:asciiTheme="minorHAnsi" w:hAnsiTheme="minorHAnsi" w:cstheme="minorHAnsi"/>
                <w:b w:val="0"/>
                <w:bCs w:val="0"/>
                <w:sz w:val="24"/>
                <w:szCs w:val="24"/>
              </w:rPr>
              <w:t>Structured Products are securities derived from or based on a single security, a basket of securities, an index, a commodity, a debt issuance and/or a foreign currency.</w:t>
            </w:r>
            <w:r w:rsidR="00E215BD" w:rsidRPr="004F1072">
              <w:rPr>
                <w:rFonts w:asciiTheme="minorHAnsi" w:hAnsiTheme="minorHAnsi" w:cstheme="minorHAnsi"/>
                <w:b w:val="0"/>
                <w:bCs w:val="0"/>
                <w:sz w:val="24"/>
                <w:szCs w:val="24"/>
              </w:rPr>
              <w:t xml:space="preserve">  The Firm offers both FDIC insured Market-Linked CDs, and Market-Linked Bank Notes.  CDs are insured up to $250,000 per bank/per investor and the notes are only based by the issuing </w:t>
            </w:r>
            <w:r w:rsidR="00440E21" w:rsidRPr="004F1072">
              <w:rPr>
                <w:rFonts w:asciiTheme="minorHAnsi" w:hAnsiTheme="minorHAnsi" w:cstheme="minorHAnsi"/>
                <w:b w:val="0"/>
                <w:bCs w:val="0"/>
                <w:sz w:val="24"/>
                <w:szCs w:val="24"/>
              </w:rPr>
              <w:t>institution</w:t>
            </w:r>
            <w:r w:rsidR="00E215BD" w:rsidRPr="004F1072">
              <w:rPr>
                <w:rFonts w:asciiTheme="minorHAnsi" w:hAnsiTheme="minorHAnsi" w:cstheme="minorHAnsi"/>
                <w:b w:val="0"/>
                <w:bCs w:val="0"/>
                <w:sz w:val="24"/>
                <w:szCs w:val="24"/>
              </w:rPr>
              <w:t xml:space="preserve"> and are not FDIC insured. The following risks are associated with the purchase </w:t>
            </w:r>
            <w:r w:rsidR="00FE2FF2" w:rsidRPr="004F1072">
              <w:rPr>
                <w:rFonts w:asciiTheme="minorHAnsi" w:hAnsiTheme="minorHAnsi" w:cstheme="minorHAnsi"/>
                <w:b w:val="0"/>
                <w:bCs w:val="0"/>
                <w:sz w:val="24"/>
                <w:szCs w:val="24"/>
              </w:rPr>
              <w:t>of structured products—credit risk, liquidity risks, price risk, call risk, coupon risks,</w:t>
            </w:r>
            <w:r w:rsidR="00322447" w:rsidRPr="004F1072">
              <w:rPr>
                <w:rFonts w:asciiTheme="minorHAnsi" w:hAnsiTheme="minorHAnsi" w:cstheme="minorHAnsi"/>
                <w:b w:val="0"/>
                <w:bCs w:val="0"/>
                <w:sz w:val="24"/>
                <w:szCs w:val="24"/>
              </w:rPr>
              <w:t xml:space="preserve"> market risk,</w:t>
            </w:r>
            <w:r w:rsidR="00FE2FF2" w:rsidRPr="004F1072">
              <w:rPr>
                <w:rFonts w:asciiTheme="minorHAnsi" w:hAnsiTheme="minorHAnsi" w:cstheme="minorHAnsi"/>
                <w:b w:val="0"/>
                <w:bCs w:val="0"/>
                <w:sz w:val="24"/>
                <w:szCs w:val="24"/>
              </w:rPr>
              <w:t xml:space="preserve"> </w:t>
            </w:r>
            <w:r w:rsidR="00AF5D8E" w:rsidRPr="004F1072">
              <w:rPr>
                <w:rFonts w:asciiTheme="minorHAnsi" w:hAnsiTheme="minorHAnsi" w:cstheme="minorHAnsi"/>
                <w:b w:val="0"/>
                <w:bCs w:val="0"/>
                <w:sz w:val="24"/>
                <w:szCs w:val="24"/>
              </w:rPr>
              <w:t xml:space="preserve">and tax considerations.  A detailed explanation of these risks can be found in the prospectus and other offering materials.   </w:t>
            </w:r>
          </w:p>
          <w:p w14:paraId="59B76F5D" w14:textId="6D3820D1" w:rsidR="00AF5D8E" w:rsidRPr="004F1072" w:rsidRDefault="00AF5D8E" w:rsidP="00BD41FD">
            <w:pPr>
              <w:pStyle w:val="Heading2"/>
              <w:rPr>
                <w:rFonts w:asciiTheme="minorHAnsi" w:hAnsiTheme="minorHAnsi" w:cstheme="minorHAnsi"/>
                <w:b w:val="0"/>
                <w:bCs w:val="0"/>
                <w:sz w:val="24"/>
                <w:szCs w:val="24"/>
              </w:rPr>
            </w:pPr>
          </w:p>
          <w:p w14:paraId="1D4FF08F" w14:textId="7303F8CC" w:rsidR="00AF5D8E" w:rsidRPr="004F1072" w:rsidRDefault="00AF5D8E" w:rsidP="00800736">
            <w:pPr>
              <w:pStyle w:val="Heading2"/>
              <w:ind w:left="0"/>
              <w:rPr>
                <w:rFonts w:asciiTheme="minorHAnsi" w:hAnsiTheme="minorHAnsi" w:cstheme="minorHAnsi"/>
                <w:b w:val="0"/>
                <w:bCs w:val="0"/>
                <w:sz w:val="24"/>
                <w:szCs w:val="24"/>
              </w:rPr>
            </w:pPr>
            <w:r w:rsidRPr="004F1072">
              <w:rPr>
                <w:rFonts w:asciiTheme="minorHAnsi" w:hAnsiTheme="minorHAnsi" w:cstheme="minorHAnsi"/>
                <w:b w:val="0"/>
                <w:bCs w:val="0"/>
                <w:sz w:val="24"/>
                <w:szCs w:val="24"/>
              </w:rPr>
              <w:t>Fees range from 1-</w:t>
            </w:r>
            <w:r w:rsidR="00FF51E9">
              <w:rPr>
                <w:rFonts w:asciiTheme="minorHAnsi" w:hAnsiTheme="minorHAnsi" w:cstheme="minorHAnsi"/>
                <w:b w:val="0"/>
                <w:bCs w:val="0"/>
                <w:sz w:val="24"/>
                <w:szCs w:val="24"/>
              </w:rPr>
              <w:t>3</w:t>
            </w:r>
            <w:r w:rsidRPr="004F1072">
              <w:rPr>
                <w:rFonts w:asciiTheme="minorHAnsi" w:hAnsiTheme="minorHAnsi" w:cstheme="minorHAnsi"/>
                <w:b w:val="0"/>
                <w:bCs w:val="0"/>
                <w:sz w:val="24"/>
                <w:szCs w:val="24"/>
              </w:rPr>
              <w:t xml:space="preserve">% depending on the maturity of the product.  All </w:t>
            </w:r>
            <w:r w:rsidR="00837C5A" w:rsidRPr="004F1072">
              <w:rPr>
                <w:rFonts w:asciiTheme="minorHAnsi" w:hAnsiTheme="minorHAnsi" w:cstheme="minorHAnsi"/>
                <w:b w:val="0"/>
                <w:bCs w:val="0"/>
                <w:sz w:val="24"/>
                <w:szCs w:val="24"/>
              </w:rPr>
              <w:t>fees</w:t>
            </w:r>
            <w:r w:rsidRPr="004F1072">
              <w:rPr>
                <w:rFonts w:asciiTheme="minorHAnsi" w:hAnsiTheme="minorHAnsi" w:cstheme="minorHAnsi"/>
                <w:b w:val="0"/>
                <w:bCs w:val="0"/>
                <w:sz w:val="24"/>
                <w:szCs w:val="24"/>
              </w:rPr>
              <w:t xml:space="preserve"> and costs </w:t>
            </w:r>
            <w:r w:rsidR="006E69C6" w:rsidRPr="004F1072">
              <w:rPr>
                <w:rFonts w:asciiTheme="minorHAnsi" w:hAnsiTheme="minorHAnsi" w:cstheme="minorHAnsi"/>
                <w:b w:val="0"/>
                <w:bCs w:val="0"/>
                <w:sz w:val="24"/>
                <w:szCs w:val="24"/>
              </w:rPr>
              <w:t>associated with</w:t>
            </w:r>
            <w:r w:rsidRPr="004F1072">
              <w:rPr>
                <w:rFonts w:asciiTheme="minorHAnsi" w:hAnsiTheme="minorHAnsi" w:cstheme="minorHAnsi"/>
                <w:b w:val="0"/>
                <w:bCs w:val="0"/>
                <w:sz w:val="24"/>
                <w:szCs w:val="24"/>
              </w:rPr>
              <w:t xml:space="preserve"> </w:t>
            </w:r>
            <w:r w:rsidR="00234DEC" w:rsidRPr="004F1072">
              <w:rPr>
                <w:rFonts w:asciiTheme="minorHAnsi" w:hAnsiTheme="minorHAnsi" w:cstheme="minorHAnsi"/>
                <w:b w:val="0"/>
                <w:bCs w:val="0"/>
                <w:sz w:val="24"/>
                <w:szCs w:val="24"/>
              </w:rPr>
              <w:t xml:space="preserve">primary offerings are disclosed in the prospectus.  To the extent structured products </w:t>
            </w:r>
            <w:r w:rsidR="0033359C" w:rsidRPr="004F1072">
              <w:rPr>
                <w:rFonts w:asciiTheme="minorHAnsi" w:hAnsiTheme="minorHAnsi" w:cstheme="minorHAnsi"/>
                <w:b w:val="0"/>
                <w:bCs w:val="0"/>
                <w:sz w:val="24"/>
                <w:szCs w:val="24"/>
              </w:rPr>
              <w:t xml:space="preserve">offer differing levels of </w:t>
            </w:r>
            <w:r w:rsidR="006E69C6" w:rsidRPr="004F1072">
              <w:rPr>
                <w:rFonts w:asciiTheme="minorHAnsi" w:hAnsiTheme="minorHAnsi" w:cstheme="minorHAnsi"/>
                <w:b w:val="0"/>
                <w:bCs w:val="0"/>
                <w:sz w:val="24"/>
                <w:szCs w:val="24"/>
              </w:rPr>
              <w:t>compensation</w:t>
            </w:r>
            <w:r w:rsidR="0033359C" w:rsidRPr="004F1072">
              <w:rPr>
                <w:rFonts w:asciiTheme="minorHAnsi" w:hAnsiTheme="minorHAnsi" w:cstheme="minorHAnsi"/>
                <w:b w:val="0"/>
                <w:bCs w:val="0"/>
                <w:sz w:val="24"/>
                <w:szCs w:val="24"/>
              </w:rPr>
              <w:t xml:space="preserve"> to the Firm and your Representative, such </w:t>
            </w:r>
            <w:r w:rsidR="00837C5A" w:rsidRPr="004F1072">
              <w:rPr>
                <w:rFonts w:asciiTheme="minorHAnsi" w:hAnsiTheme="minorHAnsi" w:cstheme="minorHAnsi"/>
                <w:b w:val="0"/>
                <w:bCs w:val="0"/>
                <w:sz w:val="24"/>
                <w:szCs w:val="24"/>
              </w:rPr>
              <w:t>recommendations</w:t>
            </w:r>
            <w:r w:rsidR="0033359C" w:rsidRPr="004F1072">
              <w:rPr>
                <w:rFonts w:asciiTheme="minorHAnsi" w:hAnsiTheme="minorHAnsi" w:cstheme="minorHAnsi"/>
                <w:b w:val="0"/>
                <w:bCs w:val="0"/>
                <w:sz w:val="24"/>
                <w:szCs w:val="24"/>
              </w:rPr>
              <w:t xml:space="preserve"> by the AC and your Representative create a </w:t>
            </w:r>
            <w:r w:rsidR="00837C5A" w:rsidRPr="004F1072">
              <w:rPr>
                <w:rFonts w:asciiTheme="minorHAnsi" w:hAnsiTheme="minorHAnsi" w:cstheme="minorHAnsi"/>
                <w:b w:val="0"/>
                <w:bCs w:val="0"/>
                <w:sz w:val="24"/>
                <w:szCs w:val="24"/>
              </w:rPr>
              <w:t>conflict</w:t>
            </w:r>
            <w:r w:rsidR="0033359C" w:rsidRPr="004F1072">
              <w:rPr>
                <w:rFonts w:asciiTheme="minorHAnsi" w:hAnsiTheme="minorHAnsi" w:cstheme="minorHAnsi"/>
                <w:b w:val="0"/>
                <w:bCs w:val="0"/>
                <w:sz w:val="24"/>
                <w:szCs w:val="24"/>
              </w:rPr>
              <w:t xml:space="preserve"> of interest.  </w:t>
            </w:r>
            <w:proofErr w:type="gramStart"/>
            <w:r w:rsidR="0033359C" w:rsidRPr="004F1072">
              <w:rPr>
                <w:rFonts w:asciiTheme="minorHAnsi" w:hAnsiTheme="minorHAnsi" w:cstheme="minorHAnsi"/>
                <w:b w:val="0"/>
                <w:bCs w:val="0"/>
                <w:sz w:val="24"/>
                <w:szCs w:val="24"/>
              </w:rPr>
              <w:t>In order to</w:t>
            </w:r>
            <w:proofErr w:type="gramEnd"/>
            <w:r w:rsidR="0033359C" w:rsidRPr="004F1072">
              <w:rPr>
                <w:rFonts w:asciiTheme="minorHAnsi" w:hAnsiTheme="minorHAnsi" w:cstheme="minorHAnsi"/>
                <w:b w:val="0"/>
                <w:bCs w:val="0"/>
                <w:sz w:val="24"/>
                <w:szCs w:val="24"/>
              </w:rPr>
              <w:t xml:space="preserve"> </w:t>
            </w:r>
            <w:r w:rsidR="00440E21" w:rsidRPr="004F1072">
              <w:rPr>
                <w:rFonts w:asciiTheme="minorHAnsi" w:hAnsiTheme="minorHAnsi" w:cstheme="minorHAnsi"/>
                <w:b w:val="0"/>
                <w:bCs w:val="0"/>
                <w:sz w:val="24"/>
                <w:szCs w:val="24"/>
              </w:rPr>
              <w:t xml:space="preserve">minimize/alleviate this conflict of interest, the Firm discloses this conflict of </w:t>
            </w:r>
            <w:r w:rsidR="00837C5A" w:rsidRPr="004F1072">
              <w:rPr>
                <w:rFonts w:asciiTheme="minorHAnsi" w:hAnsiTheme="minorHAnsi" w:cstheme="minorHAnsi"/>
                <w:b w:val="0"/>
                <w:bCs w:val="0"/>
                <w:sz w:val="24"/>
                <w:szCs w:val="24"/>
              </w:rPr>
              <w:t>interest</w:t>
            </w:r>
            <w:r w:rsidR="00440E21" w:rsidRPr="004F1072">
              <w:rPr>
                <w:rFonts w:asciiTheme="minorHAnsi" w:hAnsiTheme="minorHAnsi" w:cstheme="minorHAnsi"/>
                <w:b w:val="0"/>
                <w:bCs w:val="0"/>
                <w:sz w:val="24"/>
                <w:szCs w:val="24"/>
              </w:rPr>
              <w:t xml:space="preserve"> to you and supervises your Representative’s </w:t>
            </w:r>
            <w:r w:rsidR="006E69C6" w:rsidRPr="004F1072">
              <w:rPr>
                <w:rFonts w:asciiTheme="minorHAnsi" w:hAnsiTheme="minorHAnsi" w:cstheme="minorHAnsi"/>
                <w:b w:val="0"/>
                <w:bCs w:val="0"/>
                <w:sz w:val="24"/>
                <w:szCs w:val="24"/>
              </w:rPr>
              <w:t>recommendations</w:t>
            </w:r>
            <w:r w:rsidR="00440E21" w:rsidRPr="004F1072">
              <w:rPr>
                <w:rFonts w:asciiTheme="minorHAnsi" w:hAnsiTheme="minorHAnsi" w:cstheme="minorHAnsi"/>
                <w:b w:val="0"/>
                <w:bCs w:val="0"/>
                <w:sz w:val="24"/>
                <w:szCs w:val="24"/>
              </w:rPr>
              <w:t xml:space="preserve"> with respect to structured products.  </w:t>
            </w:r>
          </w:p>
          <w:p w14:paraId="1425C9C6" w14:textId="77777777" w:rsidR="00174EC0" w:rsidRPr="004F1072" w:rsidRDefault="00174EC0" w:rsidP="00BD41FD">
            <w:pPr>
              <w:pStyle w:val="Heading2"/>
              <w:rPr>
                <w:rFonts w:asciiTheme="minorHAnsi" w:hAnsiTheme="minorHAnsi" w:cstheme="minorHAnsi"/>
              </w:rPr>
            </w:pPr>
          </w:p>
          <w:p w14:paraId="0A9265A8" w14:textId="635173A5" w:rsidR="00BD41FD" w:rsidRPr="004F1072" w:rsidRDefault="00667AD9" w:rsidP="00441068">
            <w:pPr>
              <w:pStyle w:val="ListParagraph"/>
              <w:widowControl/>
              <w:numPr>
                <w:ilvl w:val="0"/>
                <w:numId w:val="32"/>
              </w:numPr>
              <w:adjustRightInd w:val="0"/>
              <w:rPr>
                <w:rFonts w:asciiTheme="minorHAnsi" w:eastAsiaTheme="minorHAnsi" w:hAnsiTheme="minorHAnsi" w:cstheme="minorHAnsi"/>
                <w:b/>
                <w:bCs/>
                <w:sz w:val="24"/>
                <w:szCs w:val="24"/>
              </w:rPr>
            </w:pPr>
            <w:r w:rsidRPr="004F1072">
              <w:rPr>
                <w:rFonts w:asciiTheme="minorHAnsi" w:eastAsiaTheme="minorHAnsi" w:hAnsiTheme="minorHAnsi" w:cstheme="minorHAnsi"/>
                <w:b/>
                <w:bCs/>
                <w:sz w:val="24"/>
                <w:szCs w:val="24"/>
              </w:rPr>
              <w:t>Investing in Alternative Investments</w:t>
            </w:r>
          </w:p>
          <w:p w14:paraId="4F58A4B0" w14:textId="27E75366" w:rsidR="008311E3" w:rsidRPr="004F1072" w:rsidRDefault="008311E3" w:rsidP="00B958C8">
            <w:pPr>
              <w:widowControl/>
              <w:adjustRightInd w:val="0"/>
              <w:rPr>
                <w:rFonts w:asciiTheme="minorHAnsi" w:eastAsiaTheme="minorHAnsi" w:hAnsiTheme="minorHAnsi" w:cstheme="minorHAnsi"/>
                <w:sz w:val="24"/>
                <w:szCs w:val="24"/>
              </w:rPr>
            </w:pPr>
            <w:r w:rsidRPr="004F1072">
              <w:rPr>
                <w:rFonts w:asciiTheme="minorHAnsi" w:eastAsiaTheme="minorHAnsi" w:hAnsiTheme="minorHAnsi" w:cstheme="minorHAnsi"/>
                <w:sz w:val="24"/>
                <w:szCs w:val="24"/>
              </w:rPr>
              <w:t>Alternative Investments a</w:t>
            </w:r>
            <w:r w:rsidR="003B3BF9" w:rsidRPr="004F1072">
              <w:rPr>
                <w:rFonts w:asciiTheme="minorHAnsi" w:eastAsiaTheme="minorHAnsi" w:hAnsiTheme="minorHAnsi" w:cstheme="minorHAnsi"/>
                <w:sz w:val="24"/>
                <w:szCs w:val="24"/>
              </w:rPr>
              <w:t>re securities products such as private placements, private equity funds, hedge funds, venture capital, and real estate funds.  Alternative Investments a</w:t>
            </w:r>
            <w:r w:rsidRPr="004F1072">
              <w:rPr>
                <w:rFonts w:asciiTheme="minorHAnsi" w:eastAsiaTheme="minorHAnsi" w:hAnsiTheme="minorHAnsi" w:cstheme="minorHAnsi"/>
                <w:sz w:val="24"/>
                <w:szCs w:val="24"/>
              </w:rPr>
              <w:t xml:space="preserve">re more complex than traditional investment vehicles. They often have higher fees associated with them and are more volatile than traditional investments such as stocks, </w:t>
            </w:r>
            <w:proofErr w:type="gramStart"/>
            <w:r w:rsidRPr="004F1072">
              <w:rPr>
                <w:rFonts w:asciiTheme="minorHAnsi" w:eastAsiaTheme="minorHAnsi" w:hAnsiTheme="minorHAnsi" w:cstheme="minorHAnsi"/>
                <w:sz w:val="24"/>
                <w:szCs w:val="24"/>
              </w:rPr>
              <w:t>bonds</w:t>
            </w:r>
            <w:proofErr w:type="gramEnd"/>
            <w:r w:rsidRPr="004F1072">
              <w:rPr>
                <w:rFonts w:asciiTheme="minorHAnsi" w:eastAsiaTheme="minorHAnsi" w:hAnsiTheme="minorHAnsi" w:cstheme="minorHAnsi"/>
                <w:sz w:val="24"/>
                <w:szCs w:val="24"/>
              </w:rPr>
              <w:t xml:space="preserve"> and mutual funds. The majority are invested in illiquid investments making them difficult to exit and price on a regular basis.  </w:t>
            </w:r>
          </w:p>
          <w:p w14:paraId="674A7D68" w14:textId="77777777" w:rsidR="008311E3" w:rsidRPr="004F1072" w:rsidRDefault="008311E3" w:rsidP="00B958C8">
            <w:pPr>
              <w:widowControl/>
              <w:adjustRightInd w:val="0"/>
              <w:rPr>
                <w:rFonts w:asciiTheme="minorHAnsi" w:eastAsiaTheme="minorHAnsi" w:hAnsiTheme="minorHAnsi" w:cstheme="minorHAnsi"/>
                <w:sz w:val="24"/>
                <w:szCs w:val="24"/>
              </w:rPr>
            </w:pPr>
          </w:p>
          <w:p w14:paraId="11F45C5D" w14:textId="6E1391EE" w:rsidR="003B3BF9" w:rsidRPr="004F1072" w:rsidRDefault="003B3BF9" w:rsidP="00B958C8">
            <w:pPr>
              <w:widowControl/>
              <w:adjustRightInd w:val="0"/>
              <w:rPr>
                <w:rFonts w:asciiTheme="minorHAnsi" w:eastAsiaTheme="minorHAnsi" w:hAnsiTheme="minorHAnsi" w:cstheme="minorHAnsi"/>
                <w:sz w:val="24"/>
                <w:szCs w:val="24"/>
              </w:rPr>
            </w:pPr>
            <w:r w:rsidRPr="004F1072">
              <w:rPr>
                <w:rFonts w:asciiTheme="minorHAnsi" w:eastAsiaTheme="minorHAnsi" w:hAnsiTheme="minorHAnsi" w:cstheme="minorHAnsi"/>
                <w:sz w:val="24"/>
                <w:szCs w:val="24"/>
              </w:rPr>
              <w:t xml:space="preserve">Our Firm performs due diligence for each type of alternative investment in which our Firm and Account Representatives participate.  As part of our due diligence, we perform an analysis of each alternative investment </w:t>
            </w:r>
            <w:r w:rsidRPr="008B4D59">
              <w:rPr>
                <w:rFonts w:asciiTheme="minorHAnsi" w:eastAsiaTheme="minorHAnsi" w:hAnsiTheme="minorHAnsi" w:cstheme="minorHAnsi"/>
                <w:sz w:val="24"/>
                <w:szCs w:val="24"/>
              </w:rPr>
              <w:t>to determine if the investment would be suitable for our clients.  As e</w:t>
            </w:r>
            <w:r w:rsidR="00667AD9" w:rsidRPr="008B4D59">
              <w:rPr>
                <w:rFonts w:asciiTheme="minorHAnsi" w:eastAsiaTheme="minorHAnsi" w:hAnsiTheme="minorHAnsi" w:cstheme="minorHAnsi"/>
                <w:sz w:val="24"/>
                <w:szCs w:val="24"/>
              </w:rPr>
              <w:t xml:space="preserve">ach </w:t>
            </w:r>
            <w:r w:rsidRPr="008B4D59">
              <w:rPr>
                <w:rFonts w:asciiTheme="minorHAnsi" w:eastAsiaTheme="minorHAnsi" w:hAnsiTheme="minorHAnsi" w:cstheme="minorHAnsi"/>
                <w:sz w:val="24"/>
                <w:szCs w:val="24"/>
              </w:rPr>
              <w:t>a</w:t>
            </w:r>
            <w:r w:rsidR="00667AD9" w:rsidRPr="008B4D59">
              <w:rPr>
                <w:rFonts w:asciiTheme="minorHAnsi" w:eastAsiaTheme="minorHAnsi" w:hAnsiTheme="minorHAnsi" w:cstheme="minorHAnsi"/>
                <w:sz w:val="24"/>
                <w:szCs w:val="24"/>
              </w:rPr>
              <w:t xml:space="preserve">lternative </w:t>
            </w:r>
            <w:r w:rsidRPr="008B4D59">
              <w:rPr>
                <w:rFonts w:asciiTheme="minorHAnsi" w:eastAsiaTheme="minorHAnsi" w:hAnsiTheme="minorHAnsi" w:cstheme="minorHAnsi"/>
                <w:sz w:val="24"/>
                <w:szCs w:val="24"/>
              </w:rPr>
              <w:t>i</w:t>
            </w:r>
            <w:r w:rsidR="00667AD9" w:rsidRPr="008B4D59">
              <w:rPr>
                <w:rFonts w:asciiTheme="minorHAnsi" w:eastAsiaTheme="minorHAnsi" w:hAnsiTheme="minorHAnsi" w:cstheme="minorHAnsi"/>
                <w:sz w:val="24"/>
                <w:szCs w:val="24"/>
              </w:rPr>
              <w:t xml:space="preserve">nvestment is structured </w:t>
            </w:r>
            <w:r w:rsidR="00F7361D" w:rsidRPr="008B4D59">
              <w:rPr>
                <w:rFonts w:asciiTheme="minorHAnsi" w:eastAsiaTheme="minorHAnsi" w:hAnsiTheme="minorHAnsi" w:cstheme="minorHAnsi"/>
                <w:sz w:val="24"/>
                <w:szCs w:val="24"/>
              </w:rPr>
              <w:t>differently</w:t>
            </w:r>
            <w:r w:rsidRPr="008B4D59">
              <w:rPr>
                <w:rFonts w:asciiTheme="minorHAnsi" w:eastAsiaTheme="minorHAnsi" w:hAnsiTheme="minorHAnsi" w:cstheme="minorHAnsi"/>
                <w:sz w:val="24"/>
                <w:szCs w:val="24"/>
              </w:rPr>
              <w:t>, the</w:t>
            </w:r>
            <w:r w:rsidR="00667AD9" w:rsidRPr="008B4D59">
              <w:rPr>
                <w:rFonts w:asciiTheme="minorHAnsi" w:eastAsiaTheme="minorHAnsi" w:hAnsiTheme="minorHAnsi" w:cstheme="minorHAnsi"/>
                <w:sz w:val="24"/>
                <w:szCs w:val="24"/>
              </w:rPr>
              <w:t xml:space="preserve"> fees and commissions we earn on each sale are disclosed in the offering documents for the specific investment.  </w:t>
            </w:r>
            <w:r w:rsidRPr="008B4D59">
              <w:rPr>
                <w:rFonts w:asciiTheme="minorHAnsi" w:eastAsiaTheme="minorHAnsi" w:hAnsiTheme="minorHAnsi" w:cstheme="minorHAnsi"/>
                <w:sz w:val="24"/>
                <w:szCs w:val="24"/>
              </w:rPr>
              <w:t xml:space="preserve">These fees can range from 0.0% to </w:t>
            </w:r>
            <w:r w:rsidR="005818C1">
              <w:rPr>
                <w:rFonts w:asciiTheme="minorHAnsi" w:eastAsiaTheme="minorHAnsi" w:hAnsiTheme="minorHAnsi" w:cstheme="minorHAnsi"/>
                <w:sz w:val="24"/>
                <w:szCs w:val="24"/>
              </w:rPr>
              <w:t>3</w:t>
            </w:r>
            <w:r w:rsidR="00DE7D01" w:rsidRPr="008B4D59">
              <w:rPr>
                <w:rFonts w:asciiTheme="minorHAnsi" w:eastAsiaTheme="minorHAnsi" w:hAnsiTheme="minorHAnsi" w:cstheme="minorHAnsi"/>
                <w:sz w:val="24"/>
                <w:szCs w:val="24"/>
              </w:rPr>
              <w:t>%</w:t>
            </w:r>
            <w:r w:rsidR="00EA40C9" w:rsidRPr="008B4D59">
              <w:rPr>
                <w:rFonts w:asciiTheme="minorHAnsi" w:eastAsiaTheme="minorHAnsi" w:hAnsiTheme="minorHAnsi" w:cstheme="minorHAnsi"/>
                <w:sz w:val="24"/>
                <w:szCs w:val="24"/>
              </w:rPr>
              <w:t xml:space="preserve">, </w:t>
            </w:r>
            <w:proofErr w:type="gramStart"/>
            <w:r w:rsidR="00DE7D01" w:rsidRPr="008B4D59">
              <w:rPr>
                <w:rFonts w:asciiTheme="minorHAnsi" w:eastAsiaTheme="minorHAnsi" w:hAnsiTheme="minorHAnsi" w:cstheme="minorHAnsi"/>
                <w:sz w:val="24"/>
                <w:szCs w:val="24"/>
              </w:rPr>
              <w:t>is</w:t>
            </w:r>
            <w:proofErr w:type="gramEnd"/>
            <w:r w:rsidR="00DE7D01" w:rsidRPr="008B4D59">
              <w:rPr>
                <w:rFonts w:asciiTheme="minorHAnsi" w:eastAsiaTheme="minorHAnsi" w:hAnsiTheme="minorHAnsi" w:cstheme="minorHAnsi"/>
                <w:sz w:val="24"/>
                <w:szCs w:val="24"/>
              </w:rPr>
              <w:t xml:space="preserve"> paid by the S</w:t>
            </w:r>
            <w:r w:rsidR="00FF51E9" w:rsidRPr="008B4D59">
              <w:rPr>
                <w:rFonts w:asciiTheme="minorHAnsi" w:eastAsiaTheme="minorHAnsi" w:hAnsiTheme="minorHAnsi" w:cstheme="minorHAnsi"/>
                <w:sz w:val="24"/>
                <w:szCs w:val="24"/>
              </w:rPr>
              <w:t xml:space="preserve">ponsor directly to </w:t>
            </w:r>
            <w:r w:rsidR="00DE7D01" w:rsidRPr="008B4D59">
              <w:rPr>
                <w:rFonts w:asciiTheme="minorHAnsi" w:eastAsiaTheme="minorHAnsi" w:hAnsiTheme="minorHAnsi" w:cstheme="minorHAnsi"/>
                <w:sz w:val="24"/>
                <w:szCs w:val="24"/>
              </w:rPr>
              <w:t>AC</w:t>
            </w:r>
            <w:r w:rsidR="00FF51E9" w:rsidRPr="008B4D59">
              <w:rPr>
                <w:rFonts w:asciiTheme="minorHAnsi" w:eastAsiaTheme="minorHAnsi" w:hAnsiTheme="minorHAnsi" w:cstheme="minorHAnsi"/>
                <w:sz w:val="24"/>
                <w:szCs w:val="24"/>
              </w:rPr>
              <w:t xml:space="preserve"> and does not come out of your investment.</w:t>
            </w:r>
            <w:r w:rsidR="002770C7" w:rsidRPr="008B4D59">
              <w:rPr>
                <w:rFonts w:asciiTheme="minorHAnsi" w:eastAsiaTheme="minorHAnsi" w:hAnsiTheme="minorHAnsi" w:cstheme="minorHAnsi"/>
                <w:sz w:val="24"/>
                <w:szCs w:val="24"/>
              </w:rPr>
              <w:t xml:space="preserve"> Your Account Representative </w:t>
            </w:r>
            <w:r w:rsidR="00EB233B" w:rsidRPr="008B4D59">
              <w:rPr>
                <w:rFonts w:asciiTheme="minorHAnsi" w:eastAsiaTheme="minorHAnsi" w:hAnsiTheme="minorHAnsi" w:cstheme="minorHAnsi"/>
                <w:sz w:val="24"/>
                <w:szCs w:val="24"/>
              </w:rPr>
              <w:t xml:space="preserve">is not compensated </w:t>
            </w:r>
            <w:proofErr w:type="gramStart"/>
            <w:r w:rsidR="00EB233B" w:rsidRPr="008B4D59">
              <w:rPr>
                <w:rFonts w:asciiTheme="minorHAnsi" w:eastAsiaTheme="minorHAnsi" w:hAnsiTheme="minorHAnsi" w:cstheme="minorHAnsi"/>
                <w:sz w:val="24"/>
                <w:szCs w:val="24"/>
              </w:rPr>
              <w:t>from</w:t>
            </w:r>
            <w:proofErr w:type="gramEnd"/>
            <w:r w:rsidR="00EB233B" w:rsidRPr="008B4D59">
              <w:rPr>
                <w:rFonts w:asciiTheme="minorHAnsi" w:eastAsiaTheme="minorHAnsi" w:hAnsiTheme="minorHAnsi" w:cstheme="minorHAnsi"/>
                <w:sz w:val="24"/>
                <w:szCs w:val="24"/>
              </w:rPr>
              <w:t xml:space="preserve"> this fee. Your</w:t>
            </w:r>
            <w:r w:rsidR="00DE7D01" w:rsidRPr="008B4D59">
              <w:rPr>
                <w:rFonts w:asciiTheme="minorHAnsi" w:eastAsiaTheme="minorHAnsi" w:hAnsiTheme="minorHAnsi" w:cstheme="minorHAnsi"/>
                <w:sz w:val="24"/>
                <w:szCs w:val="24"/>
              </w:rPr>
              <w:t xml:space="preserve"> Account Representative may receive fees that range from 0.0% to 7% which </w:t>
            </w:r>
            <w:proofErr w:type="gramStart"/>
            <w:r w:rsidR="00DE7D01" w:rsidRPr="008B4D59">
              <w:rPr>
                <w:rFonts w:asciiTheme="minorHAnsi" w:eastAsiaTheme="minorHAnsi" w:hAnsiTheme="minorHAnsi" w:cstheme="minorHAnsi"/>
                <w:sz w:val="24"/>
                <w:szCs w:val="24"/>
              </w:rPr>
              <w:t>is</w:t>
            </w:r>
            <w:proofErr w:type="gramEnd"/>
            <w:r w:rsidR="00DE7D01" w:rsidRPr="008B4D59">
              <w:rPr>
                <w:rFonts w:asciiTheme="minorHAnsi" w:eastAsiaTheme="minorHAnsi" w:hAnsiTheme="minorHAnsi" w:cstheme="minorHAnsi"/>
                <w:sz w:val="24"/>
                <w:szCs w:val="24"/>
              </w:rPr>
              <w:t xml:space="preserve"> paid by the Sponsor. Depending on the product sponsor, sometimes the fee your Account Representative receives may be deducted from your initial investment into the fund. A</w:t>
            </w:r>
            <w:r w:rsidR="00667AD9" w:rsidRPr="008B4D59">
              <w:rPr>
                <w:rFonts w:asciiTheme="minorHAnsi" w:eastAsiaTheme="minorHAnsi" w:hAnsiTheme="minorHAnsi" w:cstheme="minorHAnsi"/>
                <w:sz w:val="24"/>
                <w:szCs w:val="24"/>
              </w:rPr>
              <w:t>ny ongoing fees or upfront commission</w:t>
            </w:r>
            <w:r w:rsidR="00F7361D" w:rsidRPr="008B4D59">
              <w:rPr>
                <w:rFonts w:asciiTheme="minorHAnsi" w:eastAsiaTheme="minorHAnsi" w:hAnsiTheme="minorHAnsi" w:cstheme="minorHAnsi"/>
                <w:sz w:val="24"/>
                <w:szCs w:val="24"/>
              </w:rPr>
              <w:t xml:space="preserve"> paid to us will vary based on the particular interest or share class selected. </w:t>
            </w:r>
            <w:r w:rsidRPr="008B4D59">
              <w:rPr>
                <w:rFonts w:asciiTheme="minorHAnsi" w:eastAsiaTheme="minorHAnsi" w:hAnsiTheme="minorHAnsi" w:cstheme="minorHAnsi"/>
                <w:sz w:val="24"/>
                <w:szCs w:val="24"/>
              </w:rPr>
              <w:t xml:space="preserve">You should make sure you talk to your Account Representative regarding the fees, </w:t>
            </w:r>
            <w:proofErr w:type="gramStart"/>
            <w:r w:rsidRPr="008B4D59">
              <w:rPr>
                <w:rFonts w:asciiTheme="minorHAnsi" w:eastAsiaTheme="minorHAnsi" w:hAnsiTheme="minorHAnsi" w:cstheme="minorHAnsi"/>
                <w:sz w:val="24"/>
                <w:szCs w:val="24"/>
              </w:rPr>
              <w:t>expenses</w:t>
            </w:r>
            <w:proofErr w:type="gramEnd"/>
            <w:r w:rsidRPr="008B4D59">
              <w:rPr>
                <w:rFonts w:asciiTheme="minorHAnsi" w:eastAsiaTheme="minorHAnsi" w:hAnsiTheme="minorHAnsi" w:cstheme="minorHAnsi"/>
                <w:sz w:val="24"/>
                <w:szCs w:val="24"/>
              </w:rPr>
              <w:t xml:space="preserve"> and risks prior to investing in an alternative investment.</w:t>
            </w:r>
          </w:p>
          <w:p w14:paraId="0D148B23" w14:textId="77777777" w:rsidR="003B3BF9" w:rsidRPr="004F1072" w:rsidRDefault="003B3BF9" w:rsidP="00B958C8">
            <w:pPr>
              <w:widowControl/>
              <w:adjustRightInd w:val="0"/>
              <w:rPr>
                <w:rFonts w:asciiTheme="minorHAnsi" w:eastAsiaTheme="minorHAnsi" w:hAnsiTheme="minorHAnsi" w:cstheme="minorHAnsi"/>
                <w:sz w:val="24"/>
                <w:szCs w:val="24"/>
              </w:rPr>
            </w:pPr>
          </w:p>
          <w:p w14:paraId="0046771D" w14:textId="1C4280F1" w:rsidR="00667AD9" w:rsidRPr="004F1072" w:rsidRDefault="00F7361D" w:rsidP="00B958C8">
            <w:pPr>
              <w:widowControl/>
              <w:adjustRightInd w:val="0"/>
              <w:rPr>
                <w:rFonts w:asciiTheme="minorHAnsi" w:eastAsiaTheme="minorHAnsi" w:hAnsiTheme="minorHAnsi" w:cstheme="minorHAnsi"/>
                <w:sz w:val="24"/>
                <w:szCs w:val="24"/>
              </w:rPr>
            </w:pPr>
            <w:r w:rsidRPr="004F1072">
              <w:rPr>
                <w:rFonts w:asciiTheme="minorHAnsi" w:eastAsiaTheme="minorHAnsi" w:hAnsiTheme="minorHAnsi" w:cstheme="minorHAnsi"/>
                <w:sz w:val="24"/>
                <w:szCs w:val="24"/>
              </w:rPr>
              <w:t xml:space="preserve">To the extent alternative investments provide differing levels of compensation to </w:t>
            </w:r>
            <w:proofErr w:type="spellStart"/>
            <w:r w:rsidRPr="004F1072">
              <w:rPr>
                <w:rFonts w:asciiTheme="minorHAnsi" w:eastAsiaTheme="minorHAnsi" w:hAnsiTheme="minorHAnsi" w:cstheme="minorHAnsi"/>
                <w:sz w:val="24"/>
                <w:szCs w:val="24"/>
              </w:rPr>
              <w:t>Arkadios</w:t>
            </w:r>
            <w:proofErr w:type="spellEnd"/>
            <w:r w:rsidRPr="004F1072">
              <w:rPr>
                <w:rFonts w:asciiTheme="minorHAnsi" w:eastAsiaTheme="minorHAnsi" w:hAnsiTheme="minorHAnsi" w:cstheme="minorHAnsi"/>
                <w:sz w:val="24"/>
                <w:szCs w:val="24"/>
              </w:rPr>
              <w:t xml:space="preserve"> Capital and your AC Representative</w:t>
            </w:r>
            <w:r w:rsidR="003B3BF9" w:rsidRPr="004F1072">
              <w:rPr>
                <w:rFonts w:asciiTheme="minorHAnsi" w:eastAsiaTheme="minorHAnsi" w:hAnsiTheme="minorHAnsi" w:cstheme="minorHAnsi"/>
                <w:sz w:val="24"/>
                <w:szCs w:val="24"/>
              </w:rPr>
              <w:t xml:space="preserve">, this creates a conflict of interest as </w:t>
            </w:r>
            <w:r w:rsidR="00B51816" w:rsidRPr="004F1072">
              <w:rPr>
                <w:rFonts w:asciiTheme="minorHAnsi" w:eastAsiaTheme="minorHAnsi" w:hAnsiTheme="minorHAnsi" w:cstheme="minorHAnsi"/>
                <w:sz w:val="24"/>
                <w:szCs w:val="24"/>
              </w:rPr>
              <w:t xml:space="preserve">your Account Representative may be incentivized to </w:t>
            </w:r>
            <w:r w:rsidR="003B3BF9" w:rsidRPr="004F1072">
              <w:rPr>
                <w:rFonts w:asciiTheme="minorHAnsi" w:eastAsiaTheme="minorHAnsi" w:hAnsiTheme="minorHAnsi" w:cstheme="minorHAnsi"/>
                <w:sz w:val="24"/>
                <w:szCs w:val="24"/>
              </w:rPr>
              <w:t xml:space="preserve">favor one alternative investment over another.  </w:t>
            </w:r>
            <w:r w:rsidRPr="004F1072">
              <w:rPr>
                <w:rFonts w:asciiTheme="minorHAnsi" w:eastAsiaTheme="minorHAnsi" w:hAnsiTheme="minorHAnsi" w:cstheme="minorHAnsi"/>
                <w:sz w:val="24"/>
                <w:szCs w:val="24"/>
              </w:rPr>
              <w:t>AC discloses this conflict of interest to you and supervises your AC Representative’s recommendations with respect to alternative investments</w:t>
            </w:r>
            <w:r w:rsidR="003B3BF9" w:rsidRPr="004F1072">
              <w:rPr>
                <w:rFonts w:asciiTheme="minorHAnsi" w:eastAsiaTheme="minorHAnsi" w:hAnsiTheme="minorHAnsi" w:cstheme="minorHAnsi"/>
                <w:sz w:val="24"/>
                <w:szCs w:val="24"/>
              </w:rPr>
              <w:t xml:space="preserve"> to ensure one investment is not favored over another.</w:t>
            </w:r>
            <w:r w:rsidRPr="004F1072">
              <w:rPr>
                <w:rFonts w:asciiTheme="minorHAnsi" w:eastAsiaTheme="minorHAnsi" w:hAnsiTheme="minorHAnsi" w:cstheme="minorHAnsi"/>
                <w:sz w:val="24"/>
                <w:szCs w:val="24"/>
              </w:rPr>
              <w:t xml:space="preserve">  Additional information is provided in each alternative </w:t>
            </w:r>
            <w:proofErr w:type="gramStart"/>
            <w:r w:rsidRPr="004F1072">
              <w:rPr>
                <w:rFonts w:asciiTheme="minorHAnsi" w:eastAsiaTheme="minorHAnsi" w:hAnsiTheme="minorHAnsi" w:cstheme="minorHAnsi"/>
                <w:sz w:val="24"/>
                <w:szCs w:val="24"/>
              </w:rPr>
              <w:t>investment’s</w:t>
            </w:r>
            <w:proofErr w:type="gramEnd"/>
            <w:r w:rsidRPr="004F1072">
              <w:rPr>
                <w:rFonts w:asciiTheme="minorHAnsi" w:eastAsiaTheme="minorHAnsi" w:hAnsiTheme="minorHAnsi" w:cstheme="minorHAnsi"/>
                <w:sz w:val="24"/>
                <w:szCs w:val="24"/>
              </w:rPr>
              <w:t xml:space="preserve"> prospectus or other offering material</w:t>
            </w:r>
            <w:r w:rsidR="003B3BF9" w:rsidRPr="004F1072">
              <w:rPr>
                <w:rFonts w:asciiTheme="minorHAnsi" w:eastAsiaTheme="minorHAnsi" w:hAnsiTheme="minorHAnsi" w:cstheme="minorHAnsi"/>
                <w:sz w:val="24"/>
                <w:szCs w:val="24"/>
              </w:rPr>
              <w:t xml:space="preserve"> regarding the fund’s structure, fees, </w:t>
            </w:r>
            <w:proofErr w:type="gramStart"/>
            <w:r w:rsidR="003B3BF9" w:rsidRPr="004F1072">
              <w:rPr>
                <w:rFonts w:asciiTheme="minorHAnsi" w:eastAsiaTheme="minorHAnsi" w:hAnsiTheme="minorHAnsi" w:cstheme="minorHAnsi"/>
                <w:sz w:val="24"/>
                <w:szCs w:val="24"/>
              </w:rPr>
              <w:t>expenses</w:t>
            </w:r>
            <w:proofErr w:type="gramEnd"/>
            <w:r w:rsidR="003B3BF9" w:rsidRPr="004F1072">
              <w:rPr>
                <w:rFonts w:asciiTheme="minorHAnsi" w:eastAsiaTheme="minorHAnsi" w:hAnsiTheme="minorHAnsi" w:cstheme="minorHAnsi"/>
                <w:sz w:val="24"/>
                <w:szCs w:val="24"/>
              </w:rPr>
              <w:t xml:space="preserve"> and risks.  W</w:t>
            </w:r>
            <w:r w:rsidR="00B51816" w:rsidRPr="004F1072">
              <w:rPr>
                <w:rFonts w:asciiTheme="minorHAnsi" w:eastAsiaTheme="minorHAnsi" w:hAnsiTheme="minorHAnsi" w:cstheme="minorHAnsi"/>
                <w:sz w:val="24"/>
                <w:szCs w:val="24"/>
              </w:rPr>
              <w:t>e</w:t>
            </w:r>
            <w:r w:rsidR="003B3BF9" w:rsidRPr="004F1072">
              <w:rPr>
                <w:rFonts w:asciiTheme="minorHAnsi" w:eastAsiaTheme="minorHAnsi" w:hAnsiTheme="minorHAnsi" w:cstheme="minorHAnsi"/>
                <w:sz w:val="24"/>
                <w:szCs w:val="24"/>
              </w:rPr>
              <w:t xml:space="preserve"> encourage you to fully read the prospectus or offering material prior to purchasing shares </w:t>
            </w:r>
            <w:proofErr w:type="gramStart"/>
            <w:r w:rsidR="003B3BF9" w:rsidRPr="004F1072">
              <w:rPr>
                <w:rFonts w:asciiTheme="minorHAnsi" w:eastAsiaTheme="minorHAnsi" w:hAnsiTheme="minorHAnsi" w:cstheme="minorHAnsi"/>
                <w:sz w:val="24"/>
                <w:szCs w:val="24"/>
              </w:rPr>
              <w:t>of</w:t>
            </w:r>
            <w:proofErr w:type="gramEnd"/>
            <w:r w:rsidR="003B3BF9" w:rsidRPr="004F1072">
              <w:rPr>
                <w:rFonts w:asciiTheme="minorHAnsi" w:eastAsiaTheme="minorHAnsi" w:hAnsiTheme="minorHAnsi" w:cstheme="minorHAnsi"/>
                <w:sz w:val="24"/>
                <w:szCs w:val="24"/>
              </w:rPr>
              <w:t xml:space="preserve"> an alternative investment.</w:t>
            </w:r>
          </w:p>
          <w:p w14:paraId="2D52981A" w14:textId="4149CA48" w:rsidR="00BD41FD" w:rsidRPr="004F1072" w:rsidRDefault="00BD41FD" w:rsidP="003B3BF9">
            <w:pPr>
              <w:widowControl/>
              <w:adjustRightInd w:val="0"/>
              <w:rPr>
                <w:rFonts w:asciiTheme="minorHAnsi" w:eastAsiaTheme="minorHAnsi" w:hAnsiTheme="minorHAnsi" w:cstheme="minorHAnsi"/>
                <w:sz w:val="18"/>
                <w:szCs w:val="18"/>
              </w:rPr>
            </w:pPr>
          </w:p>
        </w:tc>
        <w:tc>
          <w:tcPr>
            <w:tcW w:w="3063" w:type="dxa"/>
            <w:gridSpan w:val="2"/>
          </w:tcPr>
          <w:p w14:paraId="54A1EE84" w14:textId="77777777" w:rsidR="00BD41FD" w:rsidRPr="004F1072" w:rsidRDefault="00BD41FD" w:rsidP="00B958C8">
            <w:pPr>
              <w:widowControl/>
              <w:adjustRightInd w:val="0"/>
              <w:rPr>
                <w:rFonts w:asciiTheme="minorHAnsi" w:eastAsiaTheme="minorHAnsi" w:hAnsiTheme="minorHAnsi" w:cstheme="minorHAnsi"/>
                <w:sz w:val="18"/>
                <w:szCs w:val="18"/>
              </w:rPr>
            </w:pPr>
          </w:p>
        </w:tc>
        <w:tc>
          <w:tcPr>
            <w:tcW w:w="3064" w:type="dxa"/>
            <w:gridSpan w:val="2"/>
          </w:tcPr>
          <w:p w14:paraId="63482C52" w14:textId="77777777" w:rsidR="00BD41FD" w:rsidRPr="00A626F1" w:rsidRDefault="00BD41FD" w:rsidP="00B958C8">
            <w:pPr>
              <w:widowControl/>
              <w:adjustRightInd w:val="0"/>
              <w:rPr>
                <w:rFonts w:asciiTheme="minorHAnsi" w:eastAsiaTheme="minorHAnsi" w:hAnsiTheme="minorHAnsi" w:cstheme="minorHAnsi"/>
                <w:color w:val="000000"/>
                <w:sz w:val="18"/>
                <w:szCs w:val="18"/>
              </w:rPr>
            </w:pPr>
          </w:p>
        </w:tc>
      </w:tr>
      <w:tr w:rsidR="00BD41FD" w:rsidRPr="00A626F1" w14:paraId="4DDEF564" w14:textId="77777777" w:rsidTr="00B958C8">
        <w:trPr>
          <w:trHeight w:val="93"/>
        </w:trPr>
        <w:tc>
          <w:tcPr>
            <w:tcW w:w="2297" w:type="dxa"/>
          </w:tcPr>
          <w:p w14:paraId="41D2704D" w14:textId="77777777" w:rsidR="00BD41FD" w:rsidRPr="004F1072" w:rsidRDefault="00BD41FD" w:rsidP="00B958C8">
            <w:pPr>
              <w:widowControl/>
              <w:adjustRightInd w:val="0"/>
              <w:rPr>
                <w:rFonts w:asciiTheme="minorHAnsi" w:eastAsiaTheme="minorHAnsi" w:hAnsiTheme="minorHAnsi" w:cstheme="minorHAnsi"/>
                <w:sz w:val="17"/>
                <w:szCs w:val="17"/>
              </w:rPr>
            </w:pPr>
          </w:p>
        </w:tc>
        <w:tc>
          <w:tcPr>
            <w:tcW w:w="8973" w:type="dxa"/>
            <w:gridSpan w:val="2"/>
          </w:tcPr>
          <w:p w14:paraId="412B2220" w14:textId="77777777" w:rsidR="00BD41FD" w:rsidRPr="004F1072" w:rsidRDefault="00BD41FD" w:rsidP="00B958C8">
            <w:pPr>
              <w:widowControl/>
              <w:adjustRightInd w:val="0"/>
              <w:rPr>
                <w:rFonts w:asciiTheme="minorHAnsi" w:eastAsiaTheme="minorHAnsi" w:hAnsiTheme="minorHAnsi" w:cstheme="minorHAnsi"/>
                <w:sz w:val="17"/>
                <w:szCs w:val="17"/>
              </w:rPr>
            </w:pPr>
          </w:p>
        </w:tc>
        <w:tc>
          <w:tcPr>
            <w:tcW w:w="2297" w:type="dxa"/>
            <w:gridSpan w:val="2"/>
          </w:tcPr>
          <w:p w14:paraId="2EC8EB89" w14:textId="77777777" w:rsidR="00BD41FD" w:rsidRPr="00A626F1" w:rsidRDefault="00BD41FD" w:rsidP="00B958C8">
            <w:pPr>
              <w:widowControl/>
              <w:adjustRightInd w:val="0"/>
              <w:rPr>
                <w:rFonts w:asciiTheme="minorHAnsi" w:eastAsiaTheme="minorHAnsi" w:hAnsiTheme="minorHAnsi" w:cstheme="minorHAnsi"/>
                <w:color w:val="000000"/>
                <w:sz w:val="17"/>
                <w:szCs w:val="17"/>
              </w:rPr>
            </w:pPr>
          </w:p>
        </w:tc>
        <w:tc>
          <w:tcPr>
            <w:tcW w:w="2298" w:type="dxa"/>
          </w:tcPr>
          <w:p w14:paraId="6D00AC4D" w14:textId="77777777" w:rsidR="00BD41FD" w:rsidRPr="00A626F1" w:rsidRDefault="00BD41FD" w:rsidP="00B958C8">
            <w:pPr>
              <w:widowControl/>
              <w:adjustRightInd w:val="0"/>
              <w:rPr>
                <w:rFonts w:asciiTheme="minorHAnsi" w:eastAsiaTheme="minorHAnsi" w:hAnsiTheme="minorHAnsi" w:cstheme="minorHAnsi"/>
                <w:color w:val="000000"/>
                <w:sz w:val="17"/>
                <w:szCs w:val="17"/>
              </w:rPr>
            </w:pPr>
          </w:p>
        </w:tc>
      </w:tr>
    </w:tbl>
    <w:p w14:paraId="7D78DB0F" w14:textId="3B6AD8EF" w:rsidR="00BD41FD" w:rsidRPr="00A564CC" w:rsidRDefault="00A564CC" w:rsidP="00441068">
      <w:pPr>
        <w:pStyle w:val="Heading2"/>
        <w:numPr>
          <w:ilvl w:val="0"/>
          <w:numId w:val="32"/>
        </w:numPr>
        <w:rPr>
          <w:rFonts w:asciiTheme="minorHAnsi" w:hAnsiTheme="minorHAnsi" w:cstheme="minorHAnsi"/>
          <w:sz w:val="24"/>
          <w:szCs w:val="24"/>
        </w:rPr>
      </w:pPr>
      <w:bookmarkStart w:id="6" w:name="_Toc32246241"/>
      <w:r w:rsidRPr="00A564CC">
        <w:rPr>
          <w:rFonts w:asciiTheme="minorHAnsi" w:hAnsiTheme="minorHAnsi" w:cstheme="minorHAnsi"/>
          <w:sz w:val="24"/>
          <w:szCs w:val="24"/>
        </w:rPr>
        <w:t xml:space="preserve">Investing in </w:t>
      </w:r>
      <w:r w:rsidR="00BD41FD" w:rsidRPr="00A564CC">
        <w:rPr>
          <w:rFonts w:asciiTheme="minorHAnsi" w:hAnsiTheme="minorHAnsi" w:cstheme="minorHAnsi"/>
          <w:sz w:val="24"/>
          <w:szCs w:val="24"/>
        </w:rPr>
        <w:t>Unit Investment Trusts (UITs)</w:t>
      </w:r>
      <w:bookmarkEnd w:id="6"/>
    </w:p>
    <w:p w14:paraId="5A9147D4" w14:textId="525FA4BE" w:rsidR="00D31362" w:rsidRDefault="00A564CC" w:rsidP="00BD41FD">
      <w:pPr>
        <w:pStyle w:val="BodyText"/>
        <w:kinsoku w:val="0"/>
        <w:overflowPunct w:val="0"/>
        <w:ind w:right="2"/>
        <w:rPr>
          <w:rFonts w:asciiTheme="minorHAnsi" w:hAnsiTheme="minorHAnsi" w:cstheme="minorHAnsi"/>
          <w:sz w:val="24"/>
          <w:szCs w:val="24"/>
        </w:rPr>
      </w:pPr>
      <w:r w:rsidRPr="00D31362">
        <w:rPr>
          <w:rFonts w:asciiTheme="minorHAnsi" w:hAnsiTheme="minorHAnsi" w:cstheme="minorHAnsi"/>
          <w:sz w:val="24"/>
          <w:szCs w:val="24"/>
        </w:rPr>
        <w:t xml:space="preserve">A unit investment trust is a registered investment vehicle that invests in a fixed portfolio </w:t>
      </w:r>
      <w:r w:rsidR="00AB3949" w:rsidRPr="00D31362">
        <w:rPr>
          <w:rFonts w:asciiTheme="minorHAnsi" w:hAnsiTheme="minorHAnsi" w:cstheme="minorHAnsi"/>
          <w:sz w:val="24"/>
          <w:szCs w:val="24"/>
        </w:rPr>
        <w:t>of</w:t>
      </w:r>
      <w:r w:rsidRPr="00D31362">
        <w:rPr>
          <w:rFonts w:asciiTheme="minorHAnsi" w:hAnsiTheme="minorHAnsi" w:cstheme="minorHAnsi"/>
          <w:sz w:val="24"/>
          <w:szCs w:val="24"/>
        </w:rPr>
        <w:t xml:space="preserve"> securities for a predetermined </w:t>
      </w:r>
      <w:proofErr w:type="gramStart"/>
      <w:r w:rsidRPr="00D31362">
        <w:rPr>
          <w:rFonts w:asciiTheme="minorHAnsi" w:hAnsiTheme="minorHAnsi" w:cstheme="minorHAnsi"/>
          <w:sz w:val="24"/>
          <w:szCs w:val="24"/>
        </w:rPr>
        <w:t>period of time</w:t>
      </w:r>
      <w:proofErr w:type="gramEnd"/>
      <w:r w:rsidRPr="00D31362">
        <w:rPr>
          <w:rFonts w:asciiTheme="minorHAnsi" w:hAnsiTheme="minorHAnsi" w:cstheme="minorHAnsi"/>
          <w:sz w:val="24"/>
          <w:szCs w:val="24"/>
        </w:rPr>
        <w:t>, typically from 12 months to five years. Investors purchase units of a portfolio</w:t>
      </w:r>
      <w:r w:rsidR="00D31362">
        <w:rPr>
          <w:rFonts w:asciiTheme="minorHAnsi" w:hAnsiTheme="minorHAnsi" w:cstheme="minorHAnsi"/>
          <w:sz w:val="24"/>
          <w:szCs w:val="24"/>
        </w:rPr>
        <w:t xml:space="preserve"> at a relatively low minimum investme</w:t>
      </w:r>
      <w:r w:rsidR="00BF5ECD">
        <w:rPr>
          <w:rFonts w:asciiTheme="minorHAnsi" w:hAnsiTheme="minorHAnsi" w:cstheme="minorHAnsi"/>
          <w:sz w:val="24"/>
          <w:szCs w:val="24"/>
        </w:rPr>
        <w:t>nt</w:t>
      </w:r>
      <w:r w:rsidR="00AB65F9">
        <w:rPr>
          <w:rFonts w:asciiTheme="minorHAnsi" w:hAnsiTheme="minorHAnsi" w:cstheme="minorHAnsi"/>
          <w:sz w:val="24"/>
          <w:szCs w:val="24"/>
        </w:rPr>
        <w:t xml:space="preserve">, which represents an undivided ownership interest in the assets contained in the portfolio.  UITs differ from </w:t>
      </w:r>
      <w:r w:rsidR="00AB3949">
        <w:rPr>
          <w:rFonts w:asciiTheme="minorHAnsi" w:hAnsiTheme="minorHAnsi" w:cstheme="minorHAnsi"/>
          <w:sz w:val="24"/>
          <w:szCs w:val="24"/>
        </w:rPr>
        <w:t>mutual</w:t>
      </w:r>
      <w:r w:rsidR="00AB65F9">
        <w:rPr>
          <w:rFonts w:asciiTheme="minorHAnsi" w:hAnsiTheme="minorHAnsi" w:cstheme="minorHAnsi"/>
          <w:sz w:val="24"/>
          <w:szCs w:val="24"/>
        </w:rPr>
        <w:t xml:space="preserve"> funds because they follow a “buy and hold” philosophy, rather than “playing the market,” This means the maturity of the UIT defines the holding period of the securities.  </w:t>
      </w:r>
      <w:r w:rsidR="006A0A87">
        <w:rPr>
          <w:rFonts w:asciiTheme="minorHAnsi" w:hAnsiTheme="minorHAnsi" w:cstheme="minorHAnsi"/>
          <w:sz w:val="24"/>
          <w:szCs w:val="24"/>
        </w:rPr>
        <w:t xml:space="preserve">UITs can be liquidated </w:t>
      </w:r>
      <w:proofErr w:type="gramStart"/>
      <w:r w:rsidR="006A0A87">
        <w:rPr>
          <w:rFonts w:asciiTheme="minorHAnsi" w:hAnsiTheme="minorHAnsi" w:cstheme="minorHAnsi"/>
          <w:sz w:val="24"/>
          <w:szCs w:val="24"/>
        </w:rPr>
        <w:t>on a daily basis</w:t>
      </w:r>
      <w:proofErr w:type="gramEnd"/>
      <w:r w:rsidR="006A0A87">
        <w:rPr>
          <w:rFonts w:asciiTheme="minorHAnsi" w:hAnsiTheme="minorHAnsi" w:cstheme="minorHAnsi"/>
          <w:sz w:val="24"/>
          <w:szCs w:val="24"/>
        </w:rPr>
        <w:t xml:space="preserve"> at the redemption price, less any possible deferred sales charges, which may be more or less </w:t>
      </w:r>
      <w:r w:rsidR="00AB3949">
        <w:rPr>
          <w:rFonts w:asciiTheme="minorHAnsi" w:hAnsiTheme="minorHAnsi" w:cstheme="minorHAnsi"/>
          <w:sz w:val="24"/>
          <w:szCs w:val="24"/>
        </w:rPr>
        <w:t>than</w:t>
      </w:r>
      <w:r w:rsidR="006A0A87">
        <w:rPr>
          <w:rFonts w:asciiTheme="minorHAnsi" w:hAnsiTheme="minorHAnsi" w:cstheme="minorHAnsi"/>
          <w:sz w:val="24"/>
          <w:szCs w:val="24"/>
        </w:rPr>
        <w:t xml:space="preserve"> the original purchase price.  UITs are primarily offer</w:t>
      </w:r>
      <w:r w:rsidR="009729BD">
        <w:rPr>
          <w:rFonts w:asciiTheme="minorHAnsi" w:hAnsiTheme="minorHAnsi" w:cstheme="minorHAnsi"/>
          <w:sz w:val="24"/>
          <w:szCs w:val="24"/>
        </w:rPr>
        <w:t xml:space="preserve">ed in two types: equity and fixed </w:t>
      </w:r>
      <w:r w:rsidR="00AB3949">
        <w:rPr>
          <w:rFonts w:asciiTheme="minorHAnsi" w:hAnsiTheme="minorHAnsi" w:cstheme="minorHAnsi"/>
          <w:sz w:val="24"/>
          <w:szCs w:val="24"/>
        </w:rPr>
        <w:t>income</w:t>
      </w:r>
      <w:r w:rsidR="009729BD">
        <w:rPr>
          <w:rFonts w:asciiTheme="minorHAnsi" w:hAnsiTheme="minorHAnsi" w:cstheme="minorHAnsi"/>
          <w:sz w:val="24"/>
          <w:szCs w:val="24"/>
        </w:rPr>
        <w:t>.  Within these types</w:t>
      </w:r>
      <w:r w:rsidR="00F528A4">
        <w:rPr>
          <w:rFonts w:asciiTheme="minorHAnsi" w:hAnsiTheme="minorHAnsi" w:cstheme="minorHAnsi"/>
          <w:sz w:val="24"/>
          <w:szCs w:val="24"/>
        </w:rPr>
        <w:t>, various investment objectives and risk levels are offered.</w:t>
      </w:r>
    </w:p>
    <w:p w14:paraId="3310F574" w14:textId="77777777" w:rsidR="00800736" w:rsidRDefault="00800736" w:rsidP="00BD41FD">
      <w:pPr>
        <w:pStyle w:val="BodyText"/>
        <w:kinsoku w:val="0"/>
        <w:overflowPunct w:val="0"/>
        <w:ind w:right="2"/>
        <w:rPr>
          <w:rFonts w:asciiTheme="minorHAnsi" w:hAnsiTheme="minorHAnsi" w:cstheme="minorHAnsi"/>
          <w:sz w:val="24"/>
          <w:szCs w:val="24"/>
        </w:rPr>
      </w:pPr>
    </w:p>
    <w:p w14:paraId="7C76C211" w14:textId="38C400CE" w:rsidR="00B21F64" w:rsidRDefault="003A0AB1" w:rsidP="00BD41FD">
      <w:pPr>
        <w:pStyle w:val="BodyText"/>
        <w:kinsoku w:val="0"/>
        <w:overflowPunct w:val="0"/>
        <w:ind w:right="2"/>
        <w:rPr>
          <w:rFonts w:asciiTheme="minorHAnsi" w:hAnsiTheme="minorHAnsi" w:cstheme="minorHAnsi"/>
          <w:sz w:val="24"/>
          <w:szCs w:val="24"/>
        </w:rPr>
      </w:pPr>
      <w:r>
        <w:rPr>
          <w:rFonts w:asciiTheme="minorHAnsi" w:hAnsiTheme="minorHAnsi" w:cstheme="minorHAnsi"/>
          <w:sz w:val="24"/>
          <w:szCs w:val="24"/>
        </w:rPr>
        <w:t>UITs are required to redeem units at their net asset valu</w:t>
      </w:r>
      <w:r w:rsidR="005F3C15">
        <w:rPr>
          <w:rFonts w:asciiTheme="minorHAnsi" w:hAnsiTheme="minorHAnsi" w:cstheme="minorHAnsi"/>
          <w:sz w:val="24"/>
          <w:szCs w:val="24"/>
        </w:rPr>
        <w:t>e, less any deferred sales charges, which is based upon the current market value of the underlying securities</w:t>
      </w:r>
      <w:r w:rsidR="002E7567">
        <w:rPr>
          <w:rFonts w:asciiTheme="minorHAnsi" w:hAnsiTheme="minorHAnsi" w:cstheme="minorHAnsi"/>
          <w:sz w:val="24"/>
          <w:szCs w:val="24"/>
        </w:rPr>
        <w:t xml:space="preserve">. This price upon redemption may be more or less than the original purchase price.  Upon </w:t>
      </w:r>
      <w:r w:rsidR="00AB3949">
        <w:rPr>
          <w:rFonts w:asciiTheme="minorHAnsi" w:hAnsiTheme="minorHAnsi" w:cstheme="minorHAnsi"/>
          <w:sz w:val="24"/>
          <w:szCs w:val="24"/>
        </w:rPr>
        <w:t>maturity</w:t>
      </w:r>
      <w:r w:rsidR="002E7567">
        <w:rPr>
          <w:rFonts w:asciiTheme="minorHAnsi" w:hAnsiTheme="minorHAnsi" w:cstheme="minorHAnsi"/>
          <w:sz w:val="24"/>
          <w:szCs w:val="24"/>
        </w:rPr>
        <w:t xml:space="preserve"> of a UIT, the </w:t>
      </w:r>
      <w:r w:rsidR="00AB3949">
        <w:rPr>
          <w:rFonts w:asciiTheme="minorHAnsi" w:hAnsiTheme="minorHAnsi" w:cstheme="minorHAnsi"/>
          <w:sz w:val="24"/>
          <w:szCs w:val="24"/>
        </w:rPr>
        <w:t>shareholder</w:t>
      </w:r>
      <w:r w:rsidR="002E7567">
        <w:rPr>
          <w:rFonts w:asciiTheme="minorHAnsi" w:hAnsiTheme="minorHAnsi" w:cstheme="minorHAnsi"/>
          <w:sz w:val="24"/>
          <w:szCs w:val="24"/>
        </w:rPr>
        <w:t xml:space="preserve"> has the option to (a) receive the cash value of the units, (b)</w:t>
      </w:r>
      <w:r w:rsidR="00F41AA1">
        <w:rPr>
          <w:rFonts w:asciiTheme="minorHAnsi" w:hAnsiTheme="minorHAnsi" w:cstheme="minorHAnsi"/>
          <w:sz w:val="24"/>
          <w:szCs w:val="24"/>
        </w:rPr>
        <w:t xml:space="preserve"> roll into a new UIT, or (c) receive shares of the underlying securities held in the portfolio if the account meets a certain size requirement and this option is communicated to the Representative at least 30 days prior to maturity. </w:t>
      </w:r>
      <w:r w:rsidR="000D544B">
        <w:rPr>
          <w:rFonts w:asciiTheme="minorHAnsi" w:hAnsiTheme="minorHAnsi" w:cstheme="minorHAnsi"/>
          <w:sz w:val="24"/>
          <w:szCs w:val="24"/>
        </w:rPr>
        <w:t>Pleas</w:t>
      </w:r>
      <w:r w:rsidR="00322447">
        <w:rPr>
          <w:rFonts w:asciiTheme="minorHAnsi" w:hAnsiTheme="minorHAnsi" w:cstheme="minorHAnsi"/>
          <w:sz w:val="24"/>
          <w:szCs w:val="24"/>
        </w:rPr>
        <w:t>e</w:t>
      </w:r>
      <w:r w:rsidR="000D544B">
        <w:rPr>
          <w:rFonts w:asciiTheme="minorHAnsi" w:hAnsiTheme="minorHAnsi" w:cstheme="minorHAnsi"/>
          <w:sz w:val="24"/>
          <w:szCs w:val="24"/>
        </w:rPr>
        <w:t xml:space="preserve"> read your UIT prospectus to see the details on fees and </w:t>
      </w:r>
      <w:r w:rsidR="00AB3949">
        <w:rPr>
          <w:rFonts w:asciiTheme="minorHAnsi" w:hAnsiTheme="minorHAnsi" w:cstheme="minorHAnsi"/>
          <w:sz w:val="24"/>
          <w:szCs w:val="24"/>
        </w:rPr>
        <w:t>expenses</w:t>
      </w:r>
      <w:r w:rsidR="000D544B">
        <w:rPr>
          <w:rFonts w:asciiTheme="minorHAnsi" w:hAnsiTheme="minorHAnsi" w:cstheme="minorHAnsi"/>
          <w:sz w:val="24"/>
          <w:szCs w:val="24"/>
        </w:rPr>
        <w:t>.</w:t>
      </w:r>
    </w:p>
    <w:p w14:paraId="64B67553" w14:textId="77777777" w:rsidR="00B21F64" w:rsidRDefault="00B21F64" w:rsidP="00BD41FD">
      <w:pPr>
        <w:pStyle w:val="BodyText"/>
        <w:kinsoku w:val="0"/>
        <w:overflowPunct w:val="0"/>
        <w:ind w:right="2"/>
        <w:rPr>
          <w:rFonts w:asciiTheme="minorHAnsi" w:hAnsiTheme="minorHAnsi" w:cstheme="minorHAnsi"/>
          <w:sz w:val="24"/>
          <w:szCs w:val="24"/>
        </w:rPr>
      </w:pPr>
    </w:p>
    <w:p w14:paraId="7EA46802" w14:textId="04F1B912" w:rsidR="00A75E25" w:rsidRDefault="00B21F64" w:rsidP="00BD41FD">
      <w:pPr>
        <w:pStyle w:val="BodyText"/>
        <w:kinsoku w:val="0"/>
        <w:overflowPunct w:val="0"/>
        <w:ind w:right="2"/>
        <w:rPr>
          <w:rFonts w:asciiTheme="minorHAnsi" w:hAnsiTheme="minorHAnsi" w:cstheme="minorHAnsi"/>
          <w:sz w:val="24"/>
          <w:szCs w:val="24"/>
        </w:rPr>
      </w:pPr>
      <w:r>
        <w:rPr>
          <w:rFonts w:asciiTheme="minorHAnsi" w:hAnsiTheme="minorHAnsi" w:cstheme="minorHAnsi"/>
          <w:sz w:val="24"/>
          <w:szCs w:val="24"/>
        </w:rPr>
        <w:t xml:space="preserve">UITs are also offered in the secondary market, which means an investor can redeem the UIT before maturity at the current asset value of each unit.  </w:t>
      </w:r>
      <w:r w:rsidR="00894649">
        <w:rPr>
          <w:rFonts w:asciiTheme="minorHAnsi" w:hAnsiTheme="minorHAnsi" w:cstheme="minorHAnsi"/>
          <w:sz w:val="24"/>
          <w:szCs w:val="24"/>
        </w:rPr>
        <w:t xml:space="preserve">Clients will be </w:t>
      </w:r>
      <w:r w:rsidR="00385E79">
        <w:rPr>
          <w:rFonts w:asciiTheme="minorHAnsi" w:hAnsiTheme="minorHAnsi" w:cstheme="minorHAnsi"/>
          <w:sz w:val="24"/>
          <w:szCs w:val="24"/>
        </w:rPr>
        <w:t>subject</w:t>
      </w:r>
      <w:r w:rsidR="00894649">
        <w:rPr>
          <w:rFonts w:asciiTheme="minorHAnsi" w:hAnsiTheme="minorHAnsi" w:cstheme="minorHAnsi"/>
          <w:sz w:val="24"/>
          <w:szCs w:val="24"/>
        </w:rPr>
        <w:t xml:space="preserve"> </w:t>
      </w:r>
      <w:r w:rsidR="00385E79">
        <w:rPr>
          <w:rFonts w:asciiTheme="minorHAnsi" w:hAnsiTheme="minorHAnsi" w:cstheme="minorHAnsi"/>
          <w:sz w:val="24"/>
          <w:szCs w:val="24"/>
        </w:rPr>
        <w:t>to</w:t>
      </w:r>
      <w:r w:rsidR="00894649">
        <w:rPr>
          <w:rFonts w:asciiTheme="minorHAnsi" w:hAnsiTheme="minorHAnsi" w:cstheme="minorHAnsi"/>
          <w:sz w:val="24"/>
          <w:szCs w:val="24"/>
        </w:rPr>
        <w:t xml:space="preserve"> the sales charges and expenses as mandated by the prospectus.</w:t>
      </w:r>
    </w:p>
    <w:p w14:paraId="4D7BD61E" w14:textId="77777777" w:rsidR="00A75E25" w:rsidRDefault="00A75E25" w:rsidP="00BD41FD">
      <w:pPr>
        <w:pStyle w:val="BodyText"/>
        <w:kinsoku w:val="0"/>
        <w:overflowPunct w:val="0"/>
        <w:ind w:right="2"/>
        <w:rPr>
          <w:rFonts w:asciiTheme="minorHAnsi" w:hAnsiTheme="minorHAnsi" w:cstheme="minorHAnsi"/>
          <w:sz w:val="24"/>
          <w:szCs w:val="24"/>
        </w:rPr>
      </w:pPr>
    </w:p>
    <w:p w14:paraId="679CDABB" w14:textId="160C26EE" w:rsidR="00A75E25" w:rsidRPr="004F3C66" w:rsidRDefault="00A75E25" w:rsidP="00BD41FD">
      <w:pPr>
        <w:pStyle w:val="BodyText"/>
        <w:kinsoku w:val="0"/>
        <w:overflowPunct w:val="0"/>
        <w:ind w:right="2"/>
        <w:rPr>
          <w:rFonts w:asciiTheme="minorHAnsi" w:hAnsiTheme="minorHAnsi" w:cstheme="minorHAnsi"/>
          <w:b/>
          <w:bCs/>
          <w:sz w:val="24"/>
          <w:szCs w:val="24"/>
        </w:rPr>
      </w:pPr>
      <w:r w:rsidRPr="004F3C66">
        <w:rPr>
          <w:rFonts w:asciiTheme="minorHAnsi" w:hAnsiTheme="minorHAnsi" w:cstheme="minorHAnsi"/>
          <w:b/>
          <w:bCs/>
          <w:sz w:val="24"/>
          <w:szCs w:val="24"/>
        </w:rPr>
        <w:t xml:space="preserve">UIT Costs to the </w:t>
      </w:r>
      <w:r w:rsidR="00385E79" w:rsidRPr="004F3C66">
        <w:rPr>
          <w:rFonts w:asciiTheme="minorHAnsi" w:hAnsiTheme="minorHAnsi" w:cstheme="minorHAnsi"/>
          <w:b/>
          <w:bCs/>
          <w:sz w:val="24"/>
          <w:szCs w:val="24"/>
        </w:rPr>
        <w:t>Investor</w:t>
      </w:r>
    </w:p>
    <w:p w14:paraId="74E79376" w14:textId="3375CBEA" w:rsidR="00D31362" w:rsidRDefault="00A75E25" w:rsidP="00BD41FD">
      <w:pPr>
        <w:pStyle w:val="BodyText"/>
        <w:kinsoku w:val="0"/>
        <w:overflowPunct w:val="0"/>
        <w:ind w:right="2"/>
        <w:rPr>
          <w:rFonts w:asciiTheme="minorHAnsi" w:hAnsiTheme="minorHAnsi" w:cstheme="minorHAnsi"/>
          <w:sz w:val="24"/>
          <w:szCs w:val="24"/>
        </w:rPr>
      </w:pPr>
      <w:r>
        <w:rPr>
          <w:rFonts w:asciiTheme="minorHAnsi" w:hAnsiTheme="minorHAnsi" w:cstheme="minorHAnsi"/>
          <w:sz w:val="24"/>
          <w:szCs w:val="24"/>
        </w:rPr>
        <w:t>The creation, development</w:t>
      </w:r>
      <w:r w:rsidR="00441068">
        <w:rPr>
          <w:rFonts w:asciiTheme="minorHAnsi" w:hAnsiTheme="minorHAnsi" w:cstheme="minorHAnsi"/>
          <w:sz w:val="24"/>
          <w:szCs w:val="24"/>
        </w:rPr>
        <w:t>,</w:t>
      </w:r>
      <w:r>
        <w:rPr>
          <w:rFonts w:asciiTheme="minorHAnsi" w:hAnsiTheme="minorHAnsi" w:cstheme="minorHAnsi"/>
          <w:sz w:val="24"/>
          <w:szCs w:val="24"/>
        </w:rPr>
        <w:t xml:space="preserve"> and organization fees are generally </w:t>
      </w:r>
      <w:proofErr w:type="gramStart"/>
      <w:r>
        <w:rPr>
          <w:rFonts w:asciiTheme="minorHAnsi" w:hAnsiTheme="minorHAnsi" w:cstheme="minorHAnsi"/>
          <w:sz w:val="24"/>
          <w:szCs w:val="24"/>
        </w:rPr>
        <w:t>charges</w:t>
      </w:r>
      <w:proofErr w:type="gramEnd"/>
      <w:r>
        <w:rPr>
          <w:rFonts w:asciiTheme="minorHAnsi" w:hAnsiTheme="minorHAnsi" w:cstheme="minorHAnsi"/>
          <w:sz w:val="24"/>
          <w:szCs w:val="24"/>
        </w:rPr>
        <w:t xml:space="preserve"> at the </w:t>
      </w:r>
      <w:r w:rsidR="00385E79">
        <w:rPr>
          <w:rFonts w:asciiTheme="minorHAnsi" w:hAnsiTheme="minorHAnsi" w:cstheme="minorHAnsi"/>
          <w:sz w:val="24"/>
          <w:szCs w:val="24"/>
        </w:rPr>
        <w:t>end</w:t>
      </w:r>
      <w:r>
        <w:rPr>
          <w:rFonts w:asciiTheme="minorHAnsi" w:hAnsiTheme="minorHAnsi" w:cstheme="minorHAnsi"/>
          <w:sz w:val="24"/>
          <w:szCs w:val="24"/>
        </w:rPr>
        <w:t xml:space="preserve"> of </w:t>
      </w:r>
      <w:r w:rsidR="00385E79">
        <w:rPr>
          <w:rFonts w:asciiTheme="minorHAnsi" w:hAnsiTheme="minorHAnsi" w:cstheme="minorHAnsi"/>
          <w:sz w:val="24"/>
          <w:szCs w:val="24"/>
        </w:rPr>
        <w:t>the initial</w:t>
      </w:r>
      <w:r>
        <w:rPr>
          <w:rFonts w:asciiTheme="minorHAnsi" w:hAnsiTheme="minorHAnsi" w:cstheme="minorHAnsi"/>
          <w:sz w:val="24"/>
          <w:szCs w:val="24"/>
        </w:rPr>
        <w:t xml:space="preserve"> offering period.  </w:t>
      </w:r>
      <w:r w:rsidR="0057222C">
        <w:rPr>
          <w:rFonts w:asciiTheme="minorHAnsi" w:hAnsiTheme="minorHAnsi" w:cstheme="minorHAnsi"/>
          <w:sz w:val="24"/>
          <w:szCs w:val="24"/>
        </w:rPr>
        <w:t xml:space="preserve">They are paid directly </w:t>
      </w:r>
      <w:r w:rsidR="006E69C6">
        <w:rPr>
          <w:rFonts w:asciiTheme="minorHAnsi" w:hAnsiTheme="minorHAnsi" w:cstheme="minorHAnsi"/>
          <w:sz w:val="24"/>
          <w:szCs w:val="24"/>
        </w:rPr>
        <w:t>from</w:t>
      </w:r>
      <w:r w:rsidR="0057222C">
        <w:rPr>
          <w:rFonts w:asciiTheme="minorHAnsi" w:hAnsiTheme="minorHAnsi" w:cstheme="minorHAnsi"/>
          <w:sz w:val="24"/>
          <w:szCs w:val="24"/>
        </w:rPr>
        <w:t xml:space="preserve"> the trust assets and are deducted from the trust’s market valu</w:t>
      </w:r>
      <w:r w:rsidR="006D2F9E">
        <w:rPr>
          <w:rFonts w:asciiTheme="minorHAnsi" w:hAnsiTheme="minorHAnsi" w:cstheme="minorHAnsi"/>
          <w:sz w:val="24"/>
          <w:szCs w:val="24"/>
        </w:rPr>
        <w:t xml:space="preserve">e. The operating expenses pay for the portfolio supervision, bookkeeping, administration, evaluation, and other various operating expenses. </w:t>
      </w:r>
      <w:r w:rsidR="00385E79">
        <w:rPr>
          <w:rFonts w:asciiTheme="minorHAnsi" w:hAnsiTheme="minorHAnsi" w:cstheme="minorHAnsi"/>
          <w:sz w:val="24"/>
          <w:szCs w:val="24"/>
        </w:rPr>
        <w:t xml:space="preserve">They are also paid directly from the trust assets and are deducted from the trust’s market value. </w:t>
      </w:r>
      <w:r w:rsidR="000D544B">
        <w:rPr>
          <w:rFonts w:asciiTheme="minorHAnsi" w:hAnsiTheme="minorHAnsi" w:cstheme="minorHAnsi"/>
          <w:sz w:val="24"/>
          <w:szCs w:val="24"/>
        </w:rPr>
        <w:t xml:space="preserve">  </w:t>
      </w:r>
    </w:p>
    <w:p w14:paraId="5A5989BE" w14:textId="380627F9" w:rsidR="004F3C66" w:rsidRDefault="004F3C66" w:rsidP="00BD41FD">
      <w:pPr>
        <w:pStyle w:val="BodyText"/>
        <w:kinsoku w:val="0"/>
        <w:overflowPunct w:val="0"/>
        <w:ind w:right="2"/>
        <w:rPr>
          <w:rFonts w:asciiTheme="minorHAnsi" w:hAnsiTheme="minorHAnsi" w:cstheme="minorHAnsi"/>
          <w:sz w:val="24"/>
          <w:szCs w:val="24"/>
        </w:rPr>
      </w:pPr>
    </w:p>
    <w:p w14:paraId="5F384F26" w14:textId="42E9F97F" w:rsidR="004F3C66" w:rsidRPr="00377B0C" w:rsidRDefault="004F3C66" w:rsidP="00BD41FD">
      <w:pPr>
        <w:pStyle w:val="BodyText"/>
        <w:kinsoku w:val="0"/>
        <w:overflowPunct w:val="0"/>
        <w:ind w:right="2"/>
        <w:rPr>
          <w:rFonts w:asciiTheme="minorHAnsi" w:hAnsiTheme="minorHAnsi" w:cstheme="minorHAnsi"/>
          <w:b/>
          <w:bCs/>
          <w:sz w:val="24"/>
          <w:szCs w:val="24"/>
        </w:rPr>
      </w:pPr>
      <w:r w:rsidRPr="00377B0C">
        <w:rPr>
          <w:rFonts w:asciiTheme="minorHAnsi" w:hAnsiTheme="minorHAnsi" w:cstheme="minorHAnsi"/>
          <w:b/>
          <w:bCs/>
          <w:sz w:val="24"/>
          <w:szCs w:val="24"/>
        </w:rPr>
        <w:t xml:space="preserve">Compensation to </w:t>
      </w:r>
      <w:proofErr w:type="spellStart"/>
      <w:r w:rsidRPr="00377B0C">
        <w:rPr>
          <w:rFonts w:asciiTheme="minorHAnsi" w:hAnsiTheme="minorHAnsi" w:cstheme="minorHAnsi"/>
          <w:b/>
          <w:bCs/>
          <w:sz w:val="24"/>
          <w:szCs w:val="24"/>
        </w:rPr>
        <w:t>Arkadios</w:t>
      </w:r>
      <w:proofErr w:type="spellEnd"/>
      <w:r w:rsidRPr="00377B0C">
        <w:rPr>
          <w:rFonts w:asciiTheme="minorHAnsi" w:hAnsiTheme="minorHAnsi" w:cstheme="minorHAnsi"/>
          <w:b/>
          <w:bCs/>
          <w:sz w:val="24"/>
          <w:szCs w:val="24"/>
        </w:rPr>
        <w:t xml:space="preserve"> Capital</w:t>
      </w:r>
    </w:p>
    <w:p w14:paraId="2515551B" w14:textId="203AC75D" w:rsidR="004F3C66" w:rsidRPr="004F1072" w:rsidRDefault="005D58CD" w:rsidP="00BD41FD">
      <w:pPr>
        <w:pStyle w:val="BodyText"/>
        <w:kinsoku w:val="0"/>
        <w:overflowPunct w:val="0"/>
        <w:ind w:right="2"/>
        <w:rPr>
          <w:rFonts w:asciiTheme="minorHAnsi" w:hAnsiTheme="minorHAnsi" w:cstheme="minorHAnsi"/>
          <w:sz w:val="24"/>
          <w:szCs w:val="24"/>
        </w:rPr>
      </w:pPr>
      <w:proofErr w:type="spellStart"/>
      <w:r>
        <w:rPr>
          <w:rFonts w:asciiTheme="minorHAnsi" w:hAnsiTheme="minorHAnsi" w:cstheme="minorHAnsi"/>
          <w:sz w:val="24"/>
          <w:szCs w:val="24"/>
        </w:rPr>
        <w:t>Arkadios</w:t>
      </w:r>
      <w:proofErr w:type="spellEnd"/>
      <w:r>
        <w:rPr>
          <w:rFonts w:asciiTheme="minorHAnsi" w:hAnsiTheme="minorHAnsi" w:cstheme="minorHAnsi"/>
          <w:sz w:val="24"/>
          <w:szCs w:val="24"/>
        </w:rPr>
        <w:t xml:space="preserve"> Capital is compensated by the UIT provider’s compensation </w:t>
      </w:r>
      <w:r w:rsidR="00377B0C">
        <w:rPr>
          <w:rFonts w:asciiTheme="minorHAnsi" w:hAnsiTheme="minorHAnsi" w:cstheme="minorHAnsi"/>
          <w:sz w:val="24"/>
          <w:szCs w:val="24"/>
        </w:rPr>
        <w:t>guidelines</w:t>
      </w:r>
      <w:r>
        <w:rPr>
          <w:rFonts w:asciiTheme="minorHAnsi" w:hAnsiTheme="minorHAnsi" w:cstheme="minorHAnsi"/>
          <w:sz w:val="24"/>
          <w:szCs w:val="24"/>
        </w:rPr>
        <w:t xml:space="preserve"> which are outlined in the </w:t>
      </w:r>
      <w:r w:rsidR="00377B0C">
        <w:rPr>
          <w:rFonts w:asciiTheme="minorHAnsi" w:hAnsiTheme="minorHAnsi" w:cstheme="minorHAnsi"/>
          <w:sz w:val="24"/>
          <w:szCs w:val="24"/>
        </w:rPr>
        <w:t xml:space="preserve">prospectus. However, AC can receive additional compensation for participating in an underwriting of a fixed income UIT. The concession paid by the sponsor to an underwriter is outlined in the prospectus.  Each </w:t>
      </w:r>
      <w:r w:rsidR="00377B0C" w:rsidRPr="004F1072">
        <w:rPr>
          <w:rFonts w:asciiTheme="minorHAnsi" w:hAnsiTheme="minorHAnsi" w:cstheme="minorHAnsi"/>
          <w:sz w:val="24"/>
          <w:szCs w:val="24"/>
        </w:rPr>
        <w:t xml:space="preserve">trust will have a specific compensation schedule which will be described in the prospectus.  Sales concessions and our compensation will vary with each trust. The sales charge on </w:t>
      </w:r>
      <w:r w:rsidR="004B5106" w:rsidRPr="004F1072">
        <w:rPr>
          <w:rFonts w:asciiTheme="minorHAnsi" w:hAnsiTheme="minorHAnsi" w:cstheme="minorHAnsi"/>
          <w:sz w:val="24"/>
          <w:szCs w:val="24"/>
        </w:rPr>
        <w:t xml:space="preserve">a UIT can range from 1% to 3%. </w:t>
      </w:r>
      <w:r w:rsidR="00377B0C" w:rsidRPr="004F1072">
        <w:rPr>
          <w:rFonts w:asciiTheme="minorHAnsi" w:hAnsiTheme="minorHAnsi" w:cstheme="minorHAnsi"/>
          <w:sz w:val="24"/>
          <w:szCs w:val="24"/>
        </w:rPr>
        <w:t xml:space="preserve">Your AC Account Representative is paid a portion of this fee, not to exceed set percentages. Longer duration UITs generally have higher sales charges.  UIT sponsors pay AC Additional sales compensation based on the overall volume of UIT sales.  UIT sponsors set the sales volume eligibility amounts. The “volume concession” ranges from 0-0.175% is defined in the trust’s prospectus and is not passed on to your AC Account Representative.  For sales in the secondary markets, </w:t>
      </w:r>
      <w:r w:rsidR="004B5106" w:rsidRPr="004F1072">
        <w:rPr>
          <w:rFonts w:asciiTheme="minorHAnsi" w:hAnsiTheme="minorHAnsi" w:cstheme="minorHAnsi"/>
          <w:sz w:val="24"/>
          <w:szCs w:val="24"/>
        </w:rPr>
        <w:t>your</w:t>
      </w:r>
      <w:r w:rsidR="00377B0C" w:rsidRPr="004F1072">
        <w:rPr>
          <w:rFonts w:asciiTheme="minorHAnsi" w:hAnsiTheme="minorHAnsi" w:cstheme="minorHAnsi"/>
          <w:sz w:val="24"/>
          <w:szCs w:val="24"/>
        </w:rPr>
        <w:t xml:space="preserve"> AC Representative is </w:t>
      </w:r>
      <w:r w:rsidR="004B5106" w:rsidRPr="004F1072">
        <w:rPr>
          <w:rFonts w:asciiTheme="minorHAnsi" w:hAnsiTheme="minorHAnsi" w:cstheme="minorHAnsi"/>
          <w:sz w:val="24"/>
          <w:szCs w:val="24"/>
        </w:rPr>
        <w:t>paid a commission on the transaction</w:t>
      </w:r>
      <w:r w:rsidR="00377B0C" w:rsidRPr="004F1072">
        <w:rPr>
          <w:rFonts w:asciiTheme="minorHAnsi" w:hAnsiTheme="minorHAnsi" w:cstheme="minorHAnsi"/>
          <w:sz w:val="24"/>
          <w:szCs w:val="24"/>
        </w:rPr>
        <w:t>.</w:t>
      </w:r>
    </w:p>
    <w:p w14:paraId="06281014" w14:textId="77777777" w:rsidR="000D544B" w:rsidRDefault="000D544B" w:rsidP="00BD41FD">
      <w:pPr>
        <w:pStyle w:val="BodyText"/>
        <w:kinsoku w:val="0"/>
        <w:overflowPunct w:val="0"/>
        <w:ind w:right="2"/>
        <w:rPr>
          <w:rFonts w:asciiTheme="minorHAnsi" w:hAnsiTheme="minorHAnsi" w:cstheme="minorHAnsi"/>
          <w:sz w:val="24"/>
          <w:szCs w:val="24"/>
        </w:rPr>
      </w:pPr>
    </w:p>
    <w:p w14:paraId="1B31B055" w14:textId="160B9EDA" w:rsidR="00452351" w:rsidRDefault="00AC6B05" w:rsidP="00BD41FD">
      <w:pPr>
        <w:pStyle w:val="BodyText"/>
        <w:kinsoku w:val="0"/>
        <w:overflowPunct w:val="0"/>
        <w:ind w:right="2"/>
        <w:rPr>
          <w:rFonts w:asciiTheme="minorHAnsi" w:hAnsiTheme="minorHAnsi" w:cstheme="minorHAnsi"/>
          <w:b/>
          <w:bCs/>
          <w:sz w:val="24"/>
          <w:szCs w:val="24"/>
        </w:rPr>
      </w:pPr>
      <w:proofErr w:type="spellStart"/>
      <w:r>
        <w:rPr>
          <w:rFonts w:asciiTheme="minorHAnsi" w:hAnsiTheme="minorHAnsi" w:cstheme="minorHAnsi"/>
          <w:b/>
          <w:bCs/>
          <w:sz w:val="24"/>
          <w:szCs w:val="24"/>
        </w:rPr>
        <w:t>Arkadios</w:t>
      </w:r>
      <w:proofErr w:type="spellEnd"/>
      <w:r>
        <w:rPr>
          <w:rFonts w:asciiTheme="minorHAnsi" w:hAnsiTheme="minorHAnsi" w:cstheme="minorHAnsi"/>
          <w:b/>
          <w:bCs/>
          <w:sz w:val="24"/>
          <w:szCs w:val="24"/>
        </w:rPr>
        <w:t xml:space="preserve"> Capital and AC Representatives and Conflicts of Interest </w:t>
      </w:r>
    </w:p>
    <w:p w14:paraId="56D9C558" w14:textId="75E4286C" w:rsidR="00AC6B05" w:rsidRDefault="00AC6B05" w:rsidP="00BD41FD">
      <w:pPr>
        <w:pStyle w:val="BodyText"/>
        <w:kinsoku w:val="0"/>
        <w:overflowPunct w:val="0"/>
        <w:ind w:right="2"/>
        <w:rPr>
          <w:rFonts w:asciiTheme="minorHAnsi" w:hAnsiTheme="minorHAnsi" w:cstheme="minorHAnsi"/>
          <w:sz w:val="24"/>
          <w:szCs w:val="24"/>
        </w:rPr>
      </w:pPr>
      <w:r w:rsidRPr="00364F33">
        <w:rPr>
          <w:rFonts w:asciiTheme="minorHAnsi" w:hAnsiTheme="minorHAnsi" w:cstheme="minorHAnsi"/>
          <w:sz w:val="24"/>
          <w:szCs w:val="24"/>
        </w:rPr>
        <w:t xml:space="preserve">Some UIT providers pay AC and your AC Account Representative higher compensation than other companies for sales of UITs.  This creates an </w:t>
      </w:r>
      <w:r w:rsidR="00364F33" w:rsidRPr="00364F33">
        <w:rPr>
          <w:rFonts w:asciiTheme="minorHAnsi" w:hAnsiTheme="minorHAnsi" w:cstheme="minorHAnsi"/>
          <w:sz w:val="24"/>
          <w:szCs w:val="24"/>
        </w:rPr>
        <w:t>incentive</w:t>
      </w:r>
      <w:r w:rsidRPr="00364F33">
        <w:rPr>
          <w:rFonts w:asciiTheme="minorHAnsi" w:hAnsiTheme="minorHAnsi" w:cstheme="minorHAnsi"/>
          <w:sz w:val="24"/>
          <w:szCs w:val="24"/>
        </w:rPr>
        <w:t xml:space="preserve"> for AC Representatives to sell UITs because the </w:t>
      </w:r>
      <w:r w:rsidR="00364F33" w:rsidRPr="00364F33">
        <w:rPr>
          <w:rFonts w:asciiTheme="minorHAnsi" w:hAnsiTheme="minorHAnsi" w:cstheme="minorHAnsi"/>
          <w:sz w:val="24"/>
          <w:szCs w:val="24"/>
        </w:rPr>
        <w:t>recommendation</w:t>
      </w:r>
      <w:r w:rsidRPr="00364F33">
        <w:rPr>
          <w:rFonts w:asciiTheme="minorHAnsi" w:hAnsiTheme="minorHAnsi" w:cstheme="minorHAnsi"/>
          <w:sz w:val="24"/>
          <w:szCs w:val="24"/>
        </w:rPr>
        <w:t xml:space="preserve"> of a </w:t>
      </w:r>
      <w:r w:rsidR="00364F33" w:rsidRPr="00364F33">
        <w:rPr>
          <w:rFonts w:asciiTheme="minorHAnsi" w:hAnsiTheme="minorHAnsi" w:cstheme="minorHAnsi"/>
          <w:sz w:val="24"/>
          <w:szCs w:val="24"/>
        </w:rPr>
        <w:t>particular</w:t>
      </w:r>
      <w:r w:rsidRPr="00364F33">
        <w:rPr>
          <w:rFonts w:asciiTheme="minorHAnsi" w:hAnsiTheme="minorHAnsi" w:cstheme="minorHAnsi"/>
          <w:sz w:val="24"/>
          <w:szCs w:val="24"/>
        </w:rPr>
        <w:t xml:space="preserve"> UIT</w:t>
      </w:r>
      <w:r w:rsidR="00364F33" w:rsidRPr="00364F33">
        <w:rPr>
          <w:rFonts w:asciiTheme="minorHAnsi" w:hAnsiTheme="minorHAnsi" w:cstheme="minorHAnsi"/>
          <w:sz w:val="24"/>
          <w:szCs w:val="24"/>
        </w:rPr>
        <w:t xml:space="preserve"> will result in a higher compensation amount </w:t>
      </w:r>
      <w:proofErr w:type="gramStart"/>
      <w:r w:rsidR="00364F33" w:rsidRPr="00364F33">
        <w:rPr>
          <w:rFonts w:asciiTheme="minorHAnsi" w:hAnsiTheme="minorHAnsi" w:cstheme="minorHAnsi"/>
          <w:sz w:val="24"/>
          <w:szCs w:val="24"/>
        </w:rPr>
        <w:t>of</w:t>
      </w:r>
      <w:proofErr w:type="gramEnd"/>
      <w:r w:rsidR="00364F33" w:rsidRPr="00364F33">
        <w:rPr>
          <w:rFonts w:asciiTheme="minorHAnsi" w:hAnsiTheme="minorHAnsi" w:cstheme="minorHAnsi"/>
          <w:sz w:val="24"/>
          <w:szCs w:val="24"/>
        </w:rPr>
        <w:t xml:space="preserve"> </w:t>
      </w:r>
      <w:r w:rsidR="00B51816" w:rsidRPr="00364F33">
        <w:rPr>
          <w:rFonts w:asciiTheme="minorHAnsi" w:hAnsiTheme="minorHAnsi" w:cstheme="minorHAnsi"/>
          <w:sz w:val="24"/>
          <w:szCs w:val="24"/>
        </w:rPr>
        <w:t>an</w:t>
      </w:r>
      <w:r w:rsidR="00364F33" w:rsidRPr="00364F33">
        <w:rPr>
          <w:rFonts w:asciiTheme="minorHAnsi" w:hAnsiTheme="minorHAnsi" w:cstheme="minorHAnsi"/>
          <w:sz w:val="24"/>
          <w:szCs w:val="24"/>
        </w:rPr>
        <w:t xml:space="preserve"> AC Representative than the recommendation of another similar UIT</w:t>
      </w:r>
      <w:r w:rsidR="00441068">
        <w:rPr>
          <w:rFonts w:asciiTheme="minorHAnsi" w:hAnsiTheme="minorHAnsi" w:cstheme="minorHAnsi"/>
          <w:sz w:val="24"/>
          <w:szCs w:val="24"/>
        </w:rPr>
        <w:t>.</w:t>
      </w:r>
      <w:r w:rsidR="00364F33" w:rsidRPr="00364F33">
        <w:rPr>
          <w:rFonts w:asciiTheme="minorHAnsi" w:hAnsiTheme="minorHAnsi" w:cstheme="minorHAnsi"/>
          <w:sz w:val="24"/>
          <w:szCs w:val="24"/>
        </w:rPr>
        <w:t xml:space="preserve"> AC mitigates this conflict of interest by disclosing it to its clients and </w:t>
      </w:r>
      <w:r w:rsidR="00364F33">
        <w:rPr>
          <w:rFonts w:asciiTheme="minorHAnsi" w:hAnsiTheme="minorHAnsi" w:cstheme="minorHAnsi"/>
          <w:sz w:val="24"/>
          <w:szCs w:val="24"/>
        </w:rPr>
        <w:t>supervising t</w:t>
      </w:r>
      <w:r w:rsidR="00252B24">
        <w:rPr>
          <w:rFonts w:asciiTheme="minorHAnsi" w:hAnsiTheme="minorHAnsi" w:cstheme="minorHAnsi"/>
          <w:sz w:val="24"/>
          <w:szCs w:val="24"/>
        </w:rPr>
        <w:t>he AC Account Representatives recommendations in UITs.  AC cannot eliminate the conflict of interest as it is inherent in the business model</w:t>
      </w:r>
      <w:r w:rsidR="00441068">
        <w:rPr>
          <w:rFonts w:asciiTheme="minorHAnsi" w:hAnsiTheme="minorHAnsi" w:cstheme="minorHAnsi"/>
          <w:sz w:val="24"/>
          <w:szCs w:val="24"/>
        </w:rPr>
        <w:t xml:space="preserve"> of a typical securities broker to be compensated in connection with UIT brokerage services.</w:t>
      </w:r>
    </w:p>
    <w:p w14:paraId="08EF33A3" w14:textId="5B9CAF42" w:rsidR="00441068" w:rsidRDefault="00441068" w:rsidP="00BD41FD">
      <w:pPr>
        <w:pStyle w:val="BodyText"/>
        <w:kinsoku w:val="0"/>
        <w:overflowPunct w:val="0"/>
        <w:ind w:right="2"/>
        <w:rPr>
          <w:rFonts w:asciiTheme="minorHAnsi" w:hAnsiTheme="minorHAnsi" w:cstheme="minorHAnsi"/>
          <w:sz w:val="24"/>
          <w:szCs w:val="24"/>
        </w:rPr>
      </w:pPr>
    </w:p>
    <w:p w14:paraId="7F78AACD" w14:textId="0785175E" w:rsidR="00441068" w:rsidRPr="00484212" w:rsidRDefault="00441068" w:rsidP="00441068">
      <w:pPr>
        <w:pStyle w:val="Heading1"/>
        <w:numPr>
          <w:ilvl w:val="0"/>
          <w:numId w:val="32"/>
        </w:numPr>
        <w:kinsoku w:val="0"/>
        <w:overflowPunct w:val="0"/>
        <w:rPr>
          <w:rFonts w:asciiTheme="minorHAnsi" w:hAnsiTheme="minorHAnsi" w:cstheme="minorHAnsi"/>
          <w:u w:val="none"/>
        </w:rPr>
      </w:pPr>
      <w:r w:rsidRPr="00484212">
        <w:rPr>
          <w:rFonts w:asciiTheme="minorHAnsi" w:hAnsiTheme="minorHAnsi" w:cstheme="minorHAnsi"/>
          <w:u w:val="none"/>
        </w:rPr>
        <w:t>Cash Sweep Programs</w:t>
      </w:r>
    </w:p>
    <w:p w14:paraId="20AE9338" w14:textId="1DEBD0EF" w:rsidR="00415639" w:rsidRPr="00DE7D01" w:rsidRDefault="00441068" w:rsidP="00910B89">
      <w:pPr>
        <w:pStyle w:val="Heading1"/>
        <w:kinsoku w:val="0"/>
        <w:overflowPunct w:val="0"/>
        <w:ind w:left="0"/>
        <w:rPr>
          <w:rFonts w:asciiTheme="minorHAnsi" w:hAnsiTheme="minorHAnsi" w:cstheme="minorHAnsi"/>
          <w:b w:val="0"/>
          <w:bCs w:val="0"/>
          <w:u w:val="none"/>
        </w:rPr>
      </w:pPr>
      <w:r w:rsidRPr="005B75D6">
        <w:rPr>
          <w:rFonts w:asciiTheme="minorHAnsi" w:hAnsiTheme="minorHAnsi" w:cstheme="minorHAnsi"/>
          <w:b w:val="0"/>
          <w:bCs w:val="0"/>
          <w:u w:val="none"/>
        </w:rPr>
        <w:t>Your brokerage account includes a core account that is used for settling transactions and holding free credit balances (“core account”) You</w:t>
      </w:r>
      <w:r w:rsidR="001C02A1" w:rsidRPr="005B75D6">
        <w:rPr>
          <w:rFonts w:asciiTheme="minorHAnsi" w:hAnsiTheme="minorHAnsi" w:cstheme="minorHAnsi"/>
          <w:b w:val="0"/>
          <w:bCs w:val="0"/>
          <w:u w:val="none"/>
        </w:rPr>
        <w:t xml:space="preserve">r </w:t>
      </w:r>
      <w:r w:rsidRPr="005B75D6">
        <w:rPr>
          <w:rFonts w:asciiTheme="minorHAnsi" w:hAnsiTheme="minorHAnsi" w:cstheme="minorHAnsi"/>
          <w:b w:val="0"/>
          <w:bCs w:val="0"/>
          <w:u w:val="none"/>
        </w:rPr>
        <w:t xml:space="preserve">free credit balances of cash </w:t>
      </w:r>
      <w:r w:rsidR="001C02A1" w:rsidRPr="005B75D6">
        <w:rPr>
          <w:rFonts w:asciiTheme="minorHAnsi" w:hAnsiTheme="minorHAnsi" w:cstheme="minorHAnsi"/>
          <w:b w:val="0"/>
          <w:bCs w:val="0"/>
          <w:u w:val="none"/>
        </w:rPr>
        <w:t xml:space="preserve">are </w:t>
      </w:r>
      <w:r w:rsidRPr="005B75D6">
        <w:rPr>
          <w:rFonts w:asciiTheme="minorHAnsi" w:hAnsiTheme="minorHAnsi" w:cstheme="minorHAnsi"/>
          <w:b w:val="0"/>
          <w:bCs w:val="0"/>
          <w:u w:val="none"/>
        </w:rPr>
        <w:t xml:space="preserve">automatically transferred to the </w:t>
      </w:r>
      <w:r w:rsidR="00D33828" w:rsidRPr="005B75D6">
        <w:rPr>
          <w:rFonts w:asciiTheme="minorHAnsi" w:hAnsiTheme="minorHAnsi" w:cstheme="minorHAnsi"/>
          <w:b w:val="0"/>
          <w:bCs w:val="0"/>
          <w:u w:val="none"/>
        </w:rPr>
        <w:t>Cash</w:t>
      </w:r>
      <w:r w:rsidRPr="005B75D6">
        <w:rPr>
          <w:rFonts w:asciiTheme="minorHAnsi" w:hAnsiTheme="minorHAnsi" w:cstheme="minorHAnsi"/>
          <w:b w:val="0"/>
          <w:bCs w:val="0"/>
          <w:u w:val="none"/>
        </w:rPr>
        <w:t xml:space="preserve"> Sweep Program.  </w:t>
      </w:r>
      <w:r w:rsidR="001C02A1" w:rsidRPr="005B75D6">
        <w:rPr>
          <w:rFonts w:asciiTheme="minorHAnsi" w:hAnsiTheme="minorHAnsi" w:cstheme="minorHAnsi"/>
          <w:b w:val="0"/>
          <w:bCs w:val="0"/>
          <w:u w:val="none"/>
        </w:rPr>
        <w:t>Your u</w:t>
      </w:r>
      <w:r w:rsidRPr="005B75D6">
        <w:rPr>
          <w:rFonts w:asciiTheme="minorHAnsi" w:hAnsiTheme="minorHAnsi" w:cstheme="minorHAnsi"/>
          <w:b w:val="0"/>
          <w:bCs w:val="0"/>
          <w:u w:val="none"/>
        </w:rPr>
        <w:t>n-invested cash balances in your core account will be automatically transferred (“swept”) to an interest-</w:t>
      </w:r>
      <w:r w:rsidRPr="00874605">
        <w:rPr>
          <w:rFonts w:asciiTheme="minorHAnsi" w:hAnsiTheme="minorHAnsi" w:cstheme="minorHAnsi"/>
          <w:b w:val="0"/>
          <w:bCs w:val="0"/>
          <w:u w:val="none"/>
        </w:rPr>
        <w:t>bearing deposit account at</w:t>
      </w:r>
      <w:r w:rsidR="00DF42A1" w:rsidRPr="00874605">
        <w:rPr>
          <w:rFonts w:asciiTheme="minorHAnsi" w:hAnsiTheme="minorHAnsi" w:cstheme="minorHAnsi"/>
          <w:b w:val="0"/>
          <w:bCs w:val="0"/>
          <w:u w:val="none"/>
        </w:rPr>
        <w:t xml:space="preserve"> a Program B</w:t>
      </w:r>
      <w:r w:rsidRPr="00874605">
        <w:rPr>
          <w:rFonts w:asciiTheme="minorHAnsi" w:hAnsiTheme="minorHAnsi" w:cstheme="minorHAnsi"/>
          <w:b w:val="0"/>
          <w:bCs w:val="0"/>
          <w:u w:val="none"/>
        </w:rPr>
        <w:t>ank and/or other banks and/or money market mutual funds participating in the Sweep Program</w:t>
      </w:r>
      <w:r w:rsidR="00910B89" w:rsidRPr="00874605">
        <w:rPr>
          <w:rFonts w:asciiTheme="minorHAnsi" w:hAnsiTheme="minorHAnsi" w:cstheme="minorHAnsi"/>
          <w:b w:val="0"/>
          <w:bCs w:val="0"/>
          <w:u w:val="none"/>
        </w:rPr>
        <w:t xml:space="preserve"> where it earns a variable rate of interest and is eligible for FDIC insurance</w:t>
      </w:r>
      <w:r w:rsidR="00910B89" w:rsidRPr="00DE7D01">
        <w:rPr>
          <w:rFonts w:asciiTheme="minorHAnsi" w:hAnsiTheme="minorHAnsi" w:cstheme="minorHAnsi"/>
          <w:b w:val="0"/>
          <w:bCs w:val="0"/>
          <w:u w:val="none"/>
        </w:rPr>
        <w:t xml:space="preserve">. </w:t>
      </w:r>
      <w:r w:rsidR="001C02A1" w:rsidRPr="00DE7D01">
        <w:rPr>
          <w:rFonts w:asciiTheme="minorHAnsi" w:hAnsiTheme="minorHAnsi" w:cstheme="minorHAnsi"/>
          <w:b w:val="0"/>
          <w:bCs w:val="0"/>
          <w:u w:val="none"/>
        </w:rPr>
        <w:t xml:space="preserve"> You may elect to </w:t>
      </w:r>
      <w:proofErr w:type="gramStart"/>
      <w:r w:rsidR="001C02A1" w:rsidRPr="00DE7D01">
        <w:rPr>
          <w:rFonts w:asciiTheme="minorHAnsi" w:hAnsiTheme="minorHAnsi" w:cstheme="minorHAnsi"/>
          <w:b w:val="0"/>
          <w:bCs w:val="0"/>
          <w:u w:val="none"/>
        </w:rPr>
        <w:t>opt-out</w:t>
      </w:r>
      <w:proofErr w:type="gramEnd"/>
      <w:r w:rsidR="001C02A1" w:rsidRPr="00DE7D01">
        <w:rPr>
          <w:rFonts w:asciiTheme="minorHAnsi" w:hAnsiTheme="minorHAnsi" w:cstheme="minorHAnsi"/>
          <w:b w:val="0"/>
          <w:bCs w:val="0"/>
          <w:u w:val="none"/>
        </w:rPr>
        <w:t xml:space="preserve"> of the cash sweep program</w:t>
      </w:r>
      <w:r w:rsidR="005B75D6" w:rsidRPr="00DE7D01">
        <w:rPr>
          <w:rFonts w:asciiTheme="minorHAnsi" w:hAnsiTheme="minorHAnsi" w:cstheme="minorHAnsi"/>
          <w:b w:val="0"/>
          <w:bCs w:val="0"/>
          <w:u w:val="none"/>
        </w:rPr>
        <w:t xml:space="preserve"> in which you need to inform </w:t>
      </w:r>
      <w:r w:rsidR="001C02A1" w:rsidRPr="00DE7D01">
        <w:rPr>
          <w:rFonts w:asciiTheme="minorHAnsi" w:hAnsiTheme="minorHAnsi" w:cstheme="minorHAnsi"/>
          <w:b w:val="0"/>
          <w:bCs w:val="0"/>
          <w:u w:val="none"/>
        </w:rPr>
        <w:t>your Account Representative.</w:t>
      </w:r>
    </w:p>
    <w:p w14:paraId="51025478" w14:textId="77777777" w:rsidR="00415639" w:rsidRPr="00DE7D01" w:rsidRDefault="00415639" w:rsidP="00910B89">
      <w:pPr>
        <w:pStyle w:val="Heading1"/>
        <w:kinsoku w:val="0"/>
        <w:overflowPunct w:val="0"/>
        <w:ind w:left="0"/>
        <w:rPr>
          <w:rFonts w:asciiTheme="minorHAnsi" w:hAnsiTheme="minorHAnsi" w:cstheme="minorHAnsi"/>
          <w:b w:val="0"/>
          <w:bCs w:val="0"/>
          <w:u w:val="none"/>
        </w:rPr>
      </w:pPr>
    </w:p>
    <w:p w14:paraId="0C7322B1" w14:textId="6A8D486F" w:rsidR="000A11E0" w:rsidRPr="005B75D6" w:rsidRDefault="00415639" w:rsidP="00441068">
      <w:pPr>
        <w:pStyle w:val="Heading1"/>
        <w:kinsoku w:val="0"/>
        <w:overflowPunct w:val="0"/>
        <w:ind w:left="0"/>
        <w:rPr>
          <w:rFonts w:asciiTheme="minorHAnsi" w:hAnsiTheme="minorHAnsi" w:cstheme="minorHAnsi"/>
          <w:b w:val="0"/>
          <w:bCs w:val="0"/>
          <w:u w:val="none"/>
        </w:rPr>
      </w:pPr>
      <w:r w:rsidRPr="00DE7D01">
        <w:rPr>
          <w:rFonts w:asciiTheme="minorHAnsi" w:hAnsiTheme="minorHAnsi" w:cstheme="minorHAnsi"/>
          <w:b w:val="0"/>
          <w:bCs w:val="0"/>
          <w:u w:val="none"/>
        </w:rPr>
        <w:t xml:space="preserve">The Bank Sweep Program creates financial benefits for AC and NFS. NFS receives fees from each Program Bank in connection with the Program and a portion of these fees may be paid to AC and your Account Representative.  The revenue generated by </w:t>
      </w:r>
      <w:r w:rsidRPr="005B75D6">
        <w:rPr>
          <w:rFonts w:asciiTheme="minorHAnsi" w:hAnsiTheme="minorHAnsi" w:cstheme="minorHAnsi"/>
          <w:b w:val="0"/>
          <w:bCs w:val="0"/>
          <w:u w:val="none"/>
        </w:rPr>
        <w:t xml:space="preserve">the Program may be greater than revenues generated by sweep options at other brokerage </w:t>
      </w:r>
      <w:r w:rsidR="006E69C6" w:rsidRPr="005B75D6">
        <w:rPr>
          <w:rFonts w:asciiTheme="minorHAnsi" w:hAnsiTheme="minorHAnsi" w:cstheme="minorHAnsi"/>
          <w:b w:val="0"/>
          <w:bCs w:val="0"/>
          <w:u w:val="none"/>
        </w:rPr>
        <w:t>firms and</w:t>
      </w:r>
      <w:r w:rsidRPr="005B75D6">
        <w:rPr>
          <w:rFonts w:asciiTheme="minorHAnsi" w:hAnsiTheme="minorHAnsi" w:cstheme="minorHAnsi"/>
          <w:b w:val="0"/>
          <w:bCs w:val="0"/>
          <w:u w:val="none"/>
        </w:rPr>
        <w:t xml:space="preserve"> may be greater than other core account investment vehicles currently available to you or possible core account investment vehicles that we have used in the past or may consider using in the future.  The fees AC and your Account Representative receive vary based on the interest rate set by the Federal Reserve Bank.  The fees AC and your Account Representative may receive can range between 0.0% to 1%. This creates a conflict of interest for AC and your Account Representative because this creates an incentive for you to invest more cash </w:t>
      </w:r>
      <w:proofErr w:type="gramStart"/>
      <w:r w:rsidRPr="005B75D6">
        <w:rPr>
          <w:rFonts w:asciiTheme="minorHAnsi" w:hAnsiTheme="minorHAnsi" w:cstheme="minorHAnsi"/>
          <w:b w:val="0"/>
          <w:bCs w:val="0"/>
          <w:u w:val="none"/>
        </w:rPr>
        <w:t>into</w:t>
      </w:r>
      <w:proofErr w:type="gramEnd"/>
      <w:r w:rsidRPr="005B75D6">
        <w:rPr>
          <w:rFonts w:asciiTheme="minorHAnsi" w:hAnsiTheme="minorHAnsi" w:cstheme="minorHAnsi"/>
          <w:b w:val="0"/>
          <w:bCs w:val="0"/>
          <w:u w:val="none"/>
        </w:rPr>
        <w:t xml:space="preserve"> the sweep program.  AC mitigates this conflict of interest by </w:t>
      </w:r>
      <w:r w:rsidR="00B12F59" w:rsidRPr="005B75D6">
        <w:rPr>
          <w:rFonts w:asciiTheme="minorHAnsi" w:hAnsiTheme="minorHAnsi" w:cstheme="minorHAnsi"/>
          <w:b w:val="0"/>
          <w:bCs w:val="0"/>
          <w:u w:val="none"/>
        </w:rPr>
        <w:t>disclosing</w:t>
      </w:r>
      <w:r w:rsidRPr="005B75D6">
        <w:rPr>
          <w:rFonts w:asciiTheme="minorHAnsi" w:hAnsiTheme="minorHAnsi" w:cstheme="minorHAnsi"/>
          <w:b w:val="0"/>
          <w:bCs w:val="0"/>
          <w:u w:val="none"/>
        </w:rPr>
        <w:t xml:space="preserve"> it to our clients and supervising the AC Account Representatives recommendations of cash into the cash sweep program. </w:t>
      </w:r>
    </w:p>
    <w:p w14:paraId="2D3B82A7" w14:textId="5F101A48" w:rsidR="00365C8E" w:rsidRPr="003421BC" w:rsidRDefault="00365C8E" w:rsidP="00441068">
      <w:pPr>
        <w:pStyle w:val="Heading1"/>
        <w:kinsoku w:val="0"/>
        <w:overflowPunct w:val="0"/>
        <w:ind w:left="0"/>
        <w:rPr>
          <w:rFonts w:asciiTheme="minorHAnsi" w:hAnsiTheme="minorHAnsi" w:cstheme="minorHAnsi"/>
          <w:u w:val="none"/>
        </w:rPr>
      </w:pPr>
    </w:p>
    <w:p w14:paraId="07CD1F4A" w14:textId="3174C0C0" w:rsidR="00365C8E" w:rsidRPr="003421BC" w:rsidRDefault="00365C8E" w:rsidP="00365C8E">
      <w:pPr>
        <w:pStyle w:val="Heading1"/>
        <w:numPr>
          <w:ilvl w:val="0"/>
          <w:numId w:val="32"/>
        </w:numPr>
        <w:kinsoku w:val="0"/>
        <w:overflowPunct w:val="0"/>
        <w:rPr>
          <w:rFonts w:asciiTheme="minorHAnsi" w:hAnsiTheme="minorHAnsi" w:cstheme="minorHAnsi"/>
          <w:u w:val="none"/>
        </w:rPr>
      </w:pPr>
      <w:r w:rsidRPr="003421BC">
        <w:rPr>
          <w:rFonts w:asciiTheme="minorHAnsi" w:hAnsiTheme="minorHAnsi" w:cstheme="minorHAnsi"/>
          <w:u w:val="none"/>
        </w:rPr>
        <w:t>Money Market</w:t>
      </w:r>
      <w:r w:rsidR="009B2F4E" w:rsidRPr="003421BC">
        <w:rPr>
          <w:rFonts w:asciiTheme="minorHAnsi" w:hAnsiTheme="minorHAnsi" w:cstheme="minorHAnsi"/>
          <w:u w:val="none"/>
        </w:rPr>
        <w:t xml:space="preserve"> Funds</w:t>
      </w:r>
    </w:p>
    <w:p w14:paraId="21651761" w14:textId="142DE757" w:rsidR="009B2F4E" w:rsidRDefault="009B2F4E" w:rsidP="00800736">
      <w:pPr>
        <w:pStyle w:val="Heading1"/>
        <w:kinsoku w:val="0"/>
        <w:overflowPunct w:val="0"/>
        <w:ind w:left="0"/>
        <w:rPr>
          <w:rFonts w:asciiTheme="minorHAnsi" w:hAnsiTheme="minorHAnsi" w:cstheme="minorHAnsi"/>
          <w:b w:val="0"/>
          <w:bCs w:val="0"/>
          <w:u w:val="none"/>
        </w:rPr>
      </w:pPr>
      <w:r>
        <w:rPr>
          <w:rFonts w:asciiTheme="minorHAnsi" w:hAnsiTheme="minorHAnsi" w:cstheme="minorHAnsi"/>
          <w:b w:val="0"/>
          <w:bCs w:val="0"/>
          <w:u w:val="none"/>
        </w:rPr>
        <w:t xml:space="preserve">The Firm </w:t>
      </w:r>
      <w:r w:rsidR="00B12F59">
        <w:rPr>
          <w:rFonts w:asciiTheme="minorHAnsi" w:hAnsiTheme="minorHAnsi" w:cstheme="minorHAnsi"/>
          <w:b w:val="0"/>
          <w:bCs w:val="0"/>
          <w:u w:val="none"/>
        </w:rPr>
        <w:t>has</w:t>
      </w:r>
      <w:r>
        <w:rPr>
          <w:rFonts w:asciiTheme="minorHAnsi" w:hAnsiTheme="minorHAnsi" w:cstheme="minorHAnsi"/>
          <w:b w:val="0"/>
          <w:bCs w:val="0"/>
          <w:u w:val="none"/>
        </w:rPr>
        <w:t xml:space="preserve"> a revenue sharing arrangement with Federated </w:t>
      </w:r>
      <w:r w:rsidR="005F0096">
        <w:rPr>
          <w:rFonts w:asciiTheme="minorHAnsi" w:hAnsiTheme="minorHAnsi" w:cstheme="minorHAnsi"/>
          <w:b w:val="0"/>
          <w:bCs w:val="0"/>
          <w:u w:val="none"/>
        </w:rPr>
        <w:t xml:space="preserve">Investors for the money market funds used for the Firm’s core </w:t>
      </w:r>
      <w:r w:rsidR="003421BC">
        <w:rPr>
          <w:rFonts w:asciiTheme="minorHAnsi" w:hAnsiTheme="minorHAnsi" w:cstheme="minorHAnsi"/>
          <w:b w:val="0"/>
          <w:bCs w:val="0"/>
          <w:u w:val="none"/>
        </w:rPr>
        <w:t>account</w:t>
      </w:r>
      <w:r w:rsidR="005F0096">
        <w:rPr>
          <w:rFonts w:asciiTheme="minorHAnsi" w:hAnsiTheme="minorHAnsi" w:cstheme="minorHAnsi"/>
          <w:b w:val="0"/>
          <w:bCs w:val="0"/>
          <w:u w:val="none"/>
        </w:rPr>
        <w:t xml:space="preserve"> cash management services.  Under this </w:t>
      </w:r>
      <w:r w:rsidR="002D1737">
        <w:rPr>
          <w:rFonts w:asciiTheme="minorHAnsi" w:hAnsiTheme="minorHAnsi" w:cstheme="minorHAnsi"/>
          <w:b w:val="0"/>
          <w:bCs w:val="0"/>
          <w:u w:val="none"/>
        </w:rPr>
        <w:t>ar</w:t>
      </w:r>
      <w:r w:rsidR="00415639">
        <w:rPr>
          <w:rFonts w:asciiTheme="minorHAnsi" w:hAnsiTheme="minorHAnsi" w:cstheme="minorHAnsi"/>
          <w:b w:val="0"/>
          <w:bCs w:val="0"/>
          <w:u w:val="none"/>
        </w:rPr>
        <w:t>ra</w:t>
      </w:r>
      <w:r w:rsidR="002D1737">
        <w:rPr>
          <w:rFonts w:asciiTheme="minorHAnsi" w:hAnsiTheme="minorHAnsi" w:cstheme="minorHAnsi"/>
          <w:b w:val="0"/>
          <w:bCs w:val="0"/>
          <w:u w:val="none"/>
        </w:rPr>
        <w:t>ngement</w:t>
      </w:r>
      <w:r w:rsidR="005F0096">
        <w:rPr>
          <w:rFonts w:asciiTheme="minorHAnsi" w:hAnsiTheme="minorHAnsi" w:cstheme="minorHAnsi"/>
          <w:b w:val="0"/>
          <w:bCs w:val="0"/>
          <w:u w:val="none"/>
        </w:rPr>
        <w:t xml:space="preserve">, the Firm receives a fixed percentage of all </w:t>
      </w:r>
      <w:r w:rsidR="003421BC">
        <w:rPr>
          <w:rFonts w:asciiTheme="minorHAnsi" w:hAnsiTheme="minorHAnsi" w:cstheme="minorHAnsi"/>
          <w:b w:val="0"/>
          <w:bCs w:val="0"/>
          <w:u w:val="none"/>
        </w:rPr>
        <w:t>amounts</w:t>
      </w:r>
      <w:r w:rsidR="005F0096">
        <w:rPr>
          <w:rFonts w:asciiTheme="minorHAnsi" w:hAnsiTheme="minorHAnsi" w:cstheme="minorHAnsi"/>
          <w:b w:val="0"/>
          <w:bCs w:val="0"/>
          <w:u w:val="none"/>
        </w:rPr>
        <w:t xml:space="preserve"> its clients invest</w:t>
      </w:r>
      <w:r w:rsidR="00D57CF7">
        <w:rPr>
          <w:rFonts w:asciiTheme="minorHAnsi" w:hAnsiTheme="minorHAnsi" w:cstheme="minorHAnsi"/>
          <w:b w:val="0"/>
          <w:bCs w:val="0"/>
          <w:u w:val="none"/>
        </w:rPr>
        <w:t xml:space="preserve"> in Federated Investors Money Market funds. The maximum aggregate </w:t>
      </w:r>
      <w:r w:rsidR="003421BC">
        <w:rPr>
          <w:rFonts w:asciiTheme="minorHAnsi" w:hAnsiTheme="minorHAnsi" w:cstheme="minorHAnsi"/>
          <w:b w:val="0"/>
          <w:bCs w:val="0"/>
          <w:u w:val="none"/>
        </w:rPr>
        <w:t>payment</w:t>
      </w:r>
      <w:r w:rsidR="00D57CF7">
        <w:rPr>
          <w:rFonts w:asciiTheme="minorHAnsi" w:hAnsiTheme="minorHAnsi" w:cstheme="minorHAnsi"/>
          <w:b w:val="0"/>
          <w:bCs w:val="0"/>
          <w:u w:val="none"/>
        </w:rPr>
        <w:t xml:space="preserve"> that the Firm receives is from </w:t>
      </w:r>
      <w:r w:rsidR="002D1737">
        <w:rPr>
          <w:rFonts w:asciiTheme="minorHAnsi" w:hAnsiTheme="minorHAnsi" w:cstheme="minorHAnsi"/>
          <w:b w:val="0"/>
          <w:bCs w:val="0"/>
          <w:u w:val="none"/>
        </w:rPr>
        <w:t>Federated</w:t>
      </w:r>
      <w:r w:rsidR="003421BC">
        <w:rPr>
          <w:rFonts w:asciiTheme="minorHAnsi" w:hAnsiTheme="minorHAnsi" w:cstheme="minorHAnsi"/>
          <w:b w:val="0"/>
          <w:bCs w:val="0"/>
          <w:u w:val="none"/>
        </w:rPr>
        <w:t xml:space="preserve"> Investors money market funds (including an advisor or distributor thereof) ranges from 0.0% to 0.86% annually, depending on the type of fund and share class. </w:t>
      </w:r>
    </w:p>
    <w:p w14:paraId="798273AC" w14:textId="1C9C8513" w:rsidR="002D1737" w:rsidRDefault="002D1737" w:rsidP="003421BC">
      <w:pPr>
        <w:pStyle w:val="Heading1"/>
        <w:kinsoku w:val="0"/>
        <w:overflowPunct w:val="0"/>
        <w:rPr>
          <w:rFonts w:asciiTheme="minorHAnsi" w:hAnsiTheme="minorHAnsi" w:cstheme="minorHAnsi"/>
          <w:b w:val="0"/>
          <w:bCs w:val="0"/>
          <w:u w:val="none"/>
        </w:rPr>
      </w:pPr>
    </w:p>
    <w:p w14:paraId="3BA9D97B" w14:textId="5614D636" w:rsidR="002D1737" w:rsidRDefault="002D1737" w:rsidP="00800736">
      <w:pPr>
        <w:pStyle w:val="Heading1"/>
        <w:kinsoku w:val="0"/>
        <w:overflowPunct w:val="0"/>
        <w:ind w:left="0"/>
        <w:rPr>
          <w:rFonts w:asciiTheme="minorHAnsi" w:hAnsiTheme="minorHAnsi" w:cstheme="minorHAnsi"/>
          <w:b w:val="0"/>
          <w:bCs w:val="0"/>
          <w:u w:val="none"/>
        </w:rPr>
      </w:pPr>
      <w:r>
        <w:rPr>
          <w:rFonts w:asciiTheme="minorHAnsi" w:hAnsiTheme="minorHAnsi" w:cstheme="minorHAnsi"/>
          <w:b w:val="0"/>
          <w:bCs w:val="0"/>
          <w:u w:val="none"/>
        </w:rPr>
        <w:t>The Firm has also entered into a shareholder services agreement with Fidelity Distributors Corporation and/or its affiliates (‘Fidelity) for the money market mutual funds used for your brokerage account’s core account cash management (sweep) services. Under this arrangement, the Firm receives a fixed percentage of all amounts of its client’s invest</w:t>
      </w:r>
      <w:r w:rsidR="00BC63C1">
        <w:rPr>
          <w:rFonts w:asciiTheme="minorHAnsi" w:hAnsiTheme="minorHAnsi" w:cstheme="minorHAnsi"/>
          <w:b w:val="0"/>
          <w:bCs w:val="0"/>
          <w:u w:val="none"/>
        </w:rPr>
        <w:t xml:space="preserve"> in the Fidelity Capital Reserve Class and Daily Money Class Money Market Funds.  The maximum </w:t>
      </w:r>
      <w:r w:rsidR="001941CE">
        <w:rPr>
          <w:rFonts w:asciiTheme="minorHAnsi" w:hAnsiTheme="minorHAnsi" w:cstheme="minorHAnsi"/>
          <w:b w:val="0"/>
          <w:bCs w:val="0"/>
          <w:u w:val="none"/>
        </w:rPr>
        <w:t>aggregate</w:t>
      </w:r>
      <w:r w:rsidR="00BC63C1">
        <w:rPr>
          <w:rFonts w:asciiTheme="minorHAnsi" w:hAnsiTheme="minorHAnsi" w:cstheme="minorHAnsi"/>
          <w:b w:val="0"/>
          <w:bCs w:val="0"/>
          <w:u w:val="none"/>
        </w:rPr>
        <w:t xml:space="preserve"> payment</w:t>
      </w:r>
      <w:r w:rsidR="001941CE">
        <w:rPr>
          <w:rFonts w:asciiTheme="minorHAnsi" w:hAnsiTheme="minorHAnsi" w:cstheme="minorHAnsi"/>
          <w:b w:val="0"/>
          <w:bCs w:val="0"/>
          <w:u w:val="none"/>
        </w:rPr>
        <w:t xml:space="preserve"> that the Firm receives is 0.</w:t>
      </w:r>
      <w:r w:rsidR="000A11E0">
        <w:rPr>
          <w:rFonts w:asciiTheme="minorHAnsi" w:hAnsiTheme="minorHAnsi" w:cstheme="minorHAnsi"/>
          <w:b w:val="0"/>
          <w:bCs w:val="0"/>
          <w:u w:val="none"/>
        </w:rPr>
        <w:t>00</w:t>
      </w:r>
      <w:r w:rsidR="001941CE">
        <w:rPr>
          <w:rFonts w:asciiTheme="minorHAnsi" w:hAnsiTheme="minorHAnsi" w:cstheme="minorHAnsi"/>
          <w:b w:val="0"/>
          <w:bCs w:val="0"/>
          <w:u w:val="none"/>
        </w:rPr>
        <w:t>% to 0.50% annually, the applicable percentage depending on the fund type and share class.</w:t>
      </w:r>
    </w:p>
    <w:p w14:paraId="0CB4D318" w14:textId="1012F539" w:rsidR="004A6A17" w:rsidRDefault="004A6A17" w:rsidP="003421BC">
      <w:pPr>
        <w:pStyle w:val="Heading1"/>
        <w:kinsoku w:val="0"/>
        <w:overflowPunct w:val="0"/>
        <w:rPr>
          <w:rFonts w:asciiTheme="minorHAnsi" w:hAnsiTheme="minorHAnsi" w:cstheme="minorHAnsi"/>
          <w:b w:val="0"/>
          <w:bCs w:val="0"/>
          <w:u w:val="none"/>
        </w:rPr>
      </w:pPr>
    </w:p>
    <w:p w14:paraId="42563358" w14:textId="4A5BC2A0" w:rsidR="004A6A17" w:rsidRDefault="004A6A17" w:rsidP="00800736">
      <w:pPr>
        <w:pStyle w:val="Heading1"/>
        <w:kinsoku w:val="0"/>
        <w:overflowPunct w:val="0"/>
        <w:ind w:left="0"/>
        <w:rPr>
          <w:rFonts w:asciiTheme="minorHAnsi" w:hAnsiTheme="minorHAnsi" w:cstheme="minorHAnsi"/>
          <w:b w:val="0"/>
          <w:bCs w:val="0"/>
          <w:u w:val="none"/>
        </w:rPr>
      </w:pPr>
      <w:r>
        <w:rPr>
          <w:rFonts w:asciiTheme="minorHAnsi" w:hAnsiTheme="minorHAnsi" w:cstheme="minorHAnsi"/>
          <w:b w:val="0"/>
          <w:bCs w:val="0"/>
          <w:u w:val="none"/>
        </w:rPr>
        <w:t xml:space="preserve">The Firm’s receipt of this additional </w:t>
      </w:r>
      <w:r w:rsidR="00707C45">
        <w:rPr>
          <w:rFonts w:asciiTheme="minorHAnsi" w:hAnsiTheme="minorHAnsi" w:cstheme="minorHAnsi"/>
          <w:b w:val="0"/>
          <w:bCs w:val="0"/>
          <w:u w:val="none"/>
        </w:rPr>
        <w:t>compensation</w:t>
      </w:r>
      <w:r>
        <w:rPr>
          <w:rFonts w:asciiTheme="minorHAnsi" w:hAnsiTheme="minorHAnsi" w:cstheme="minorHAnsi"/>
          <w:b w:val="0"/>
          <w:bCs w:val="0"/>
          <w:u w:val="none"/>
        </w:rPr>
        <w:t xml:space="preserve"> from Federated Investors and </w:t>
      </w:r>
      <w:r w:rsidR="00707C45">
        <w:rPr>
          <w:rFonts w:asciiTheme="minorHAnsi" w:hAnsiTheme="minorHAnsi" w:cstheme="minorHAnsi"/>
          <w:b w:val="0"/>
          <w:bCs w:val="0"/>
          <w:u w:val="none"/>
        </w:rPr>
        <w:t>Fidelity</w:t>
      </w:r>
      <w:r>
        <w:rPr>
          <w:rFonts w:asciiTheme="minorHAnsi" w:hAnsiTheme="minorHAnsi" w:cstheme="minorHAnsi"/>
          <w:b w:val="0"/>
          <w:bCs w:val="0"/>
          <w:u w:val="none"/>
        </w:rPr>
        <w:t xml:space="preserve"> described above creates a conflict of interest on behalf of the Firm. Such additional compensation is not shared with AC Representatives,  AC addresses this conflict by (a) disclosing this conflict of interest </w:t>
      </w:r>
      <w:r w:rsidR="00707C45">
        <w:rPr>
          <w:rFonts w:asciiTheme="minorHAnsi" w:hAnsiTheme="minorHAnsi" w:cstheme="minorHAnsi"/>
          <w:b w:val="0"/>
          <w:bCs w:val="0"/>
          <w:u w:val="none"/>
        </w:rPr>
        <w:t>to</w:t>
      </w:r>
      <w:r>
        <w:rPr>
          <w:rFonts w:asciiTheme="minorHAnsi" w:hAnsiTheme="minorHAnsi" w:cstheme="minorHAnsi"/>
          <w:b w:val="0"/>
          <w:bCs w:val="0"/>
          <w:u w:val="none"/>
        </w:rPr>
        <w:t xml:space="preserve"> our clients</w:t>
      </w:r>
      <w:r w:rsidR="00FB3082">
        <w:rPr>
          <w:rFonts w:asciiTheme="minorHAnsi" w:hAnsiTheme="minorHAnsi" w:cstheme="minorHAnsi"/>
          <w:b w:val="0"/>
          <w:bCs w:val="0"/>
          <w:u w:val="none"/>
        </w:rPr>
        <w:t xml:space="preserve">, (b) supervising your AC Representatives </w:t>
      </w:r>
      <w:r w:rsidR="00707C45">
        <w:rPr>
          <w:rFonts w:asciiTheme="minorHAnsi" w:hAnsiTheme="minorHAnsi" w:cstheme="minorHAnsi"/>
          <w:b w:val="0"/>
          <w:bCs w:val="0"/>
          <w:u w:val="none"/>
        </w:rPr>
        <w:t>recommendations</w:t>
      </w:r>
      <w:r w:rsidR="00FB3082">
        <w:rPr>
          <w:rFonts w:asciiTheme="minorHAnsi" w:hAnsiTheme="minorHAnsi" w:cstheme="minorHAnsi"/>
          <w:b w:val="0"/>
          <w:bCs w:val="0"/>
          <w:u w:val="none"/>
        </w:rPr>
        <w:t xml:space="preserve">, and (c) </w:t>
      </w:r>
      <w:r w:rsidR="00031E98">
        <w:rPr>
          <w:rFonts w:asciiTheme="minorHAnsi" w:hAnsiTheme="minorHAnsi" w:cstheme="minorHAnsi"/>
          <w:b w:val="0"/>
          <w:bCs w:val="0"/>
          <w:u w:val="none"/>
        </w:rPr>
        <w:t xml:space="preserve">permitting its </w:t>
      </w:r>
      <w:r w:rsidR="00707C45">
        <w:rPr>
          <w:rFonts w:asciiTheme="minorHAnsi" w:hAnsiTheme="minorHAnsi" w:cstheme="minorHAnsi"/>
          <w:b w:val="0"/>
          <w:bCs w:val="0"/>
          <w:u w:val="none"/>
        </w:rPr>
        <w:t>clients</w:t>
      </w:r>
      <w:r w:rsidR="00031E98">
        <w:rPr>
          <w:rFonts w:asciiTheme="minorHAnsi" w:hAnsiTheme="minorHAnsi" w:cstheme="minorHAnsi"/>
          <w:b w:val="0"/>
          <w:bCs w:val="0"/>
          <w:u w:val="none"/>
        </w:rPr>
        <w:t xml:space="preserve"> to select a wide range of cash management and short-term investment options, sweep o</w:t>
      </w:r>
      <w:r w:rsidR="00707C45">
        <w:rPr>
          <w:rFonts w:asciiTheme="minorHAnsi" w:hAnsiTheme="minorHAnsi" w:cstheme="minorHAnsi"/>
          <w:b w:val="0"/>
          <w:bCs w:val="0"/>
          <w:u w:val="none"/>
        </w:rPr>
        <w:t>pt</w:t>
      </w:r>
      <w:r w:rsidR="00031E98">
        <w:rPr>
          <w:rFonts w:asciiTheme="minorHAnsi" w:hAnsiTheme="minorHAnsi" w:cstheme="minorHAnsi"/>
          <w:b w:val="0"/>
          <w:bCs w:val="0"/>
          <w:u w:val="none"/>
        </w:rPr>
        <w:t>ions,</w:t>
      </w:r>
      <w:r w:rsidR="00CC59CC">
        <w:rPr>
          <w:rFonts w:asciiTheme="minorHAnsi" w:hAnsiTheme="minorHAnsi" w:cstheme="minorHAnsi"/>
          <w:b w:val="0"/>
          <w:bCs w:val="0"/>
          <w:u w:val="none"/>
        </w:rPr>
        <w:t xml:space="preserve"> and not sharing such compensation with AC Representatives.  AC also discloses to its clients that its </w:t>
      </w:r>
      <w:r w:rsidR="00322447">
        <w:rPr>
          <w:rFonts w:asciiTheme="minorHAnsi" w:hAnsiTheme="minorHAnsi" w:cstheme="minorHAnsi"/>
          <w:b w:val="0"/>
          <w:bCs w:val="0"/>
          <w:u w:val="none"/>
        </w:rPr>
        <w:t>s</w:t>
      </w:r>
      <w:r w:rsidR="00CC59CC">
        <w:rPr>
          <w:rFonts w:asciiTheme="minorHAnsi" w:hAnsiTheme="minorHAnsi" w:cstheme="minorHAnsi"/>
          <w:b w:val="0"/>
          <w:bCs w:val="0"/>
          <w:u w:val="none"/>
        </w:rPr>
        <w:t xml:space="preserve">weep program is a service and not an investment recommendation and that </w:t>
      </w:r>
      <w:r w:rsidR="00707C45">
        <w:rPr>
          <w:rFonts w:asciiTheme="minorHAnsi" w:hAnsiTheme="minorHAnsi" w:cstheme="minorHAnsi"/>
          <w:b w:val="0"/>
          <w:bCs w:val="0"/>
          <w:u w:val="none"/>
        </w:rPr>
        <w:t>clients</w:t>
      </w:r>
      <w:r w:rsidR="00CC59CC">
        <w:rPr>
          <w:rFonts w:asciiTheme="minorHAnsi" w:hAnsiTheme="minorHAnsi" w:cstheme="minorHAnsi"/>
          <w:b w:val="0"/>
          <w:bCs w:val="0"/>
          <w:u w:val="none"/>
        </w:rPr>
        <w:t xml:space="preserve"> may unilaterally </w:t>
      </w:r>
      <w:r w:rsidR="00707C45">
        <w:rPr>
          <w:rFonts w:asciiTheme="minorHAnsi" w:hAnsiTheme="minorHAnsi" w:cstheme="minorHAnsi"/>
          <w:b w:val="0"/>
          <w:bCs w:val="0"/>
          <w:u w:val="none"/>
        </w:rPr>
        <w:t>eliminate</w:t>
      </w:r>
      <w:r w:rsidR="00CC59CC">
        <w:rPr>
          <w:rFonts w:asciiTheme="minorHAnsi" w:hAnsiTheme="minorHAnsi" w:cstheme="minorHAnsi"/>
          <w:b w:val="0"/>
          <w:bCs w:val="0"/>
          <w:u w:val="none"/>
        </w:rPr>
        <w:t xml:space="preserve"> this conflict of </w:t>
      </w:r>
      <w:r w:rsidR="00707C45">
        <w:rPr>
          <w:rFonts w:asciiTheme="minorHAnsi" w:hAnsiTheme="minorHAnsi" w:cstheme="minorHAnsi"/>
          <w:b w:val="0"/>
          <w:bCs w:val="0"/>
          <w:u w:val="none"/>
        </w:rPr>
        <w:t>interest</w:t>
      </w:r>
      <w:r w:rsidR="00CC59CC">
        <w:rPr>
          <w:rFonts w:asciiTheme="minorHAnsi" w:hAnsiTheme="minorHAnsi" w:cstheme="minorHAnsi"/>
          <w:b w:val="0"/>
          <w:bCs w:val="0"/>
          <w:u w:val="none"/>
        </w:rPr>
        <w:t xml:space="preserve"> by withdrawing cash balances from their brokerage accounts transaction core account and investing such funds bank </w:t>
      </w:r>
      <w:r w:rsidR="00707C45">
        <w:rPr>
          <w:rFonts w:asciiTheme="minorHAnsi" w:hAnsiTheme="minorHAnsi" w:cstheme="minorHAnsi"/>
          <w:b w:val="0"/>
          <w:bCs w:val="0"/>
          <w:u w:val="none"/>
        </w:rPr>
        <w:t>deposits</w:t>
      </w:r>
      <w:r w:rsidR="00CC59CC">
        <w:rPr>
          <w:rFonts w:asciiTheme="minorHAnsi" w:hAnsiTheme="minorHAnsi" w:cstheme="minorHAnsi"/>
          <w:b w:val="0"/>
          <w:bCs w:val="0"/>
          <w:u w:val="none"/>
        </w:rPr>
        <w:t xml:space="preserve">, </w:t>
      </w:r>
      <w:r w:rsidR="00707C45">
        <w:rPr>
          <w:rFonts w:asciiTheme="minorHAnsi" w:hAnsiTheme="minorHAnsi" w:cstheme="minorHAnsi"/>
          <w:b w:val="0"/>
          <w:bCs w:val="0"/>
          <w:u w:val="none"/>
        </w:rPr>
        <w:t>certificates</w:t>
      </w:r>
      <w:r w:rsidR="00CC59CC">
        <w:rPr>
          <w:rFonts w:asciiTheme="minorHAnsi" w:hAnsiTheme="minorHAnsi" w:cstheme="minorHAnsi"/>
          <w:b w:val="0"/>
          <w:bCs w:val="0"/>
          <w:u w:val="none"/>
        </w:rPr>
        <w:t xml:space="preserve"> of </w:t>
      </w:r>
      <w:r w:rsidR="00707C45">
        <w:rPr>
          <w:rFonts w:asciiTheme="minorHAnsi" w:hAnsiTheme="minorHAnsi" w:cstheme="minorHAnsi"/>
          <w:b w:val="0"/>
          <w:bCs w:val="0"/>
          <w:u w:val="none"/>
        </w:rPr>
        <w:t>deposits</w:t>
      </w:r>
      <w:r w:rsidR="00EC3283">
        <w:rPr>
          <w:rFonts w:asciiTheme="minorHAnsi" w:hAnsiTheme="minorHAnsi" w:cstheme="minorHAnsi"/>
          <w:b w:val="0"/>
          <w:bCs w:val="0"/>
          <w:u w:val="none"/>
        </w:rPr>
        <w:t xml:space="preserve">, and other money market mutual funds which can offer higher yields and other investment </w:t>
      </w:r>
      <w:r w:rsidR="00707C45">
        <w:rPr>
          <w:rFonts w:asciiTheme="minorHAnsi" w:hAnsiTheme="minorHAnsi" w:cstheme="minorHAnsi"/>
          <w:b w:val="0"/>
          <w:bCs w:val="0"/>
          <w:u w:val="none"/>
        </w:rPr>
        <w:t>returns</w:t>
      </w:r>
      <w:r w:rsidR="00EC3283">
        <w:rPr>
          <w:rFonts w:asciiTheme="minorHAnsi" w:hAnsiTheme="minorHAnsi" w:cstheme="minorHAnsi"/>
          <w:b w:val="0"/>
          <w:bCs w:val="0"/>
          <w:u w:val="none"/>
        </w:rPr>
        <w:t xml:space="preserve"> </w:t>
      </w:r>
      <w:r w:rsidR="000A11E0">
        <w:rPr>
          <w:rFonts w:asciiTheme="minorHAnsi" w:hAnsiTheme="minorHAnsi" w:cstheme="minorHAnsi"/>
          <w:b w:val="0"/>
          <w:bCs w:val="0"/>
          <w:u w:val="none"/>
        </w:rPr>
        <w:t>.</w:t>
      </w:r>
    </w:p>
    <w:p w14:paraId="05E6F34F" w14:textId="77777777" w:rsidR="000B647B" w:rsidRDefault="000B647B" w:rsidP="000B647B">
      <w:pPr>
        <w:pStyle w:val="Heading1"/>
        <w:kinsoku w:val="0"/>
        <w:overflowPunct w:val="0"/>
        <w:ind w:left="480"/>
        <w:rPr>
          <w:rFonts w:asciiTheme="minorHAnsi" w:hAnsiTheme="minorHAnsi" w:cstheme="minorHAnsi"/>
          <w:b w:val="0"/>
          <w:bCs w:val="0"/>
          <w:u w:val="none"/>
        </w:rPr>
      </w:pPr>
    </w:p>
    <w:p w14:paraId="0BA9CBBD" w14:textId="0628EC07" w:rsidR="00F938E9" w:rsidRPr="000B647B" w:rsidRDefault="00F938E9" w:rsidP="00365C8E">
      <w:pPr>
        <w:pStyle w:val="Heading1"/>
        <w:numPr>
          <w:ilvl w:val="0"/>
          <w:numId w:val="32"/>
        </w:numPr>
        <w:kinsoku w:val="0"/>
        <w:overflowPunct w:val="0"/>
        <w:rPr>
          <w:rFonts w:asciiTheme="minorHAnsi" w:hAnsiTheme="minorHAnsi" w:cstheme="minorHAnsi"/>
          <w:u w:val="none"/>
        </w:rPr>
      </w:pPr>
      <w:r w:rsidRPr="000B647B">
        <w:rPr>
          <w:rFonts w:asciiTheme="minorHAnsi" w:hAnsiTheme="minorHAnsi" w:cstheme="minorHAnsi"/>
          <w:u w:val="none"/>
        </w:rPr>
        <w:t>Equities</w:t>
      </w:r>
      <w:r w:rsidR="00F02622">
        <w:rPr>
          <w:rFonts w:asciiTheme="minorHAnsi" w:hAnsiTheme="minorHAnsi" w:cstheme="minorHAnsi"/>
          <w:u w:val="none"/>
        </w:rPr>
        <w:t>, Exchange Traded Funds</w:t>
      </w:r>
      <w:r w:rsidRPr="000B647B">
        <w:rPr>
          <w:rFonts w:asciiTheme="minorHAnsi" w:hAnsiTheme="minorHAnsi" w:cstheme="minorHAnsi"/>
          <w:u w:val="none"/>
        </w:rPr>
        <w:t xml:space="preserve"> and Options</w:t>
      </w:r>
    </w:p>
    <w:p w14:paraId="48463068" w14:textId="2B537844" w:rsidR="00F02622" w:rsidRDefault="00F938E9" w:rsidP="00800736">
      <w:pPr>
        <w:pStyle w:val="Heading1"/>
        <w:ind w:left="0"/>
        <w:rPr>
          <w:rFonts w:asciiTheme="minorHAnsi" w:hAnsiTheme="minorHAnsi" w:cstheme="minorHAnsi"/>
          <w:b w:val="0"/>
          <w:bCs w:val="0"/>
          <w:u w:val="none"/>
        </w:rPr>
      </w:pPr>
      <w:r>
        <w:rPr>
          <w:rFonts w:asciiTheme="minorHAnsi" w:hAnsiTheme="minorHAnsi" w:cstheme="minorHAnsi"/>
          <w:b w:val="0"/>
          <w:bCs w:val="0"/>
          <w:u w:val="none"/>
        </w:rPr>
        <w:t>Equity Securities</w:t>
      </w:r>
      <w:r w:rsidR="00F02622">
        <w:rPr>
          <w:rFonts w:asciiTheme="minorHAnsi" w:hAnsiTheme="minorHAnsi" w:cstheme="minorHAnsi"/>
          <w:b w:val="0"/>
          <w:bCs w:val="0"/>
          <w:u w:val="none"/>
        </w:rPr>
        <w:t xml:space="preserve">, ETFs </w:t>
      </w:r>
      <w:r>
        <w:rPr>
          <w:rFonts w:asciiTheme="minorHAnsi" w:hAnsiTheme="minorHAnsi" w:cstheme="minorHAnsi"/>
          <w:b w:val="0"/>
          <w:bCs w:val="0"/>
          <w:u w:val="none"/>
        </w:rPr>
        <w:t xml:space="preserve">and Options are traded on one of the U.S </w:t>
      </w:r>
      <w:r w:rsidR="000B647B">
        <w:rPr>
          <w:rFonts w:asciiTheme="minorHAnsi" w:hAnsiTheme="minorHAnsi" w:cstheme="minorHAnsi"/>
          <w:b w:val="0"/>
          <w:bCs w:val="0"/>
          <w:u w:val="none"/>
        </w:rPr>
        <w:t>exchanges and the customer is generally charged a commission as set forth in the Firm’s commission schedule, which is provided to you at account opening.  All commissions charges on equities and options are based on the type of security, liquidity of the security,</w:t>
      </w:r>
      <w:r w:rsidR="000B647B" w:rsidRPr="00F02622">
        <w:rPr>
          <w:rFonts w:asciiTheme="minorHAnsi" w:hAnsiTheme="minorHAnsi" w:cstheme="minorHAnsi"/>
          <w:b w:val="0"/>
          <w:bCs w:val="0"/>
          <w:u w:val="none"/>
        </w:rPr>
        <w:t xml:space="preserve"> and size of the order. </w:t>
      </w:r>
      <w:r w:rsidR="00F02622" w:rsidRPr="00F02622">
        <w:rPr>
          <w:rFonts w:asciiTheme="minorHAnsi" w:hAnsiTheme="minorHAnsi" w:cstheme="minorHAnsi"/>
          <w:b w:val="0"/>
          <w:bCs w:val="0"/>
          <w:u w:val="none"/>
        </w:rPr>
        <w:t xml:space="preserve">Where these fees apply, the more transactions you </w:t>
      </w:r>
      <w:proofErr w:type="gramStart"/>
      <w:r w:rsidR="00F02622" w:rsidRPr="00F02622">
        <w:rPr>
          <w:rFonts w:asciiTheme="minorHAnsi" w:hAnsiTheme="minorHAnsi" w:cstheme="minorHAnsi"/>
          <w:b w:val="0"/>
          <w:bCs w:val="0"/>
          <w:u w:val="none"/>
        </w:rPr>
        <w:t>enter into</w:t>
      </w:r>
      <w:proofErr w:type="gramEnd"/>
      <w:r w:rsidR="00F02622" w:rsidRPr="00F02622">
        <w:rPr>
          <w:rFonts w:asciiTheme="minorHAnsi" w:hAnsiTheme="minorHAnsi" w:cstheme="minorHAnsi"/>
          <w:b w:val="0"/>
          <w:bCs w:val="0"/>
          <w:u w:val="none"/>
        </w:rPr>
        <w:t xml:space="preserve">, the more compensation that we and your financial professional receive. This compensation creates an incentive for us to recommend that you buy and sell, rather than hold, these investments. Alternatively, in less active accounts, compensation may be higher in an asset-based advisory fee structure, which creates an incentive for us to recommend that format. We also have an incentive to recommend that you purchase investment products that carry higher fees, instead of products that carry lower fees or no fees at all. </w:t>
      </w:r>
      <w:proofErr w:type="gramStart"/>
      <w:r w:rsidR="00F02622" w:rsidRPr="00F02622">
        <w:rPr>
          <w:rFonts w:asciiTheme="minorHAnsi" w:hAnsiTheme="minorHAnsi" w:cstheme="minorHAnsi"/>
          <w:b w:val="0"/>
          <w:bCs w:val="0"/>
          <w:u w:val="none"/>
        </w:rPr>
        <w:t>In order to</w:t>
      </w:r>
      <w:proofErr w:type="gramEnd"/>
      <w:r w:rsidR="00F02622" w:rsidRPr="00F02622">
        <w:rPr>
          <w:rFonts w:asciiTheme="minorHAnsi" w:hAnsiTheme="minorHAnsi" w:cstheme="minorHAnsi"/>
          <w:b w:val="0"/>
          <w:bCs w:val="0"/>
          <w:u w:val="none"/>
        </w:rPr>
        <w:t xml:space="preserve"> mitigate this conflict of interest, AC is disclosing this conflict to its clients, and supervises the recommendations of your AC Representative. </w:t>
      </w:r>
      <w:r w:rsidR="000A11E0">
        <w:rPr>
          <w:rFonts w:asciiTheme="minorHAnsi" w:hAnsiTheme="minorHAnsi" w:cstheme="minorHAnsi"/>
          <w:b w:val="0"/>
          <w:bCs w:val="0"/>
          <w:u w:val="none"/>
        </w:rPr>
        <w:t xml:space="preserve"> </w:t>
      </w:r>
    </w:p>
    <w:p w14:paraId="75EA09DE" w14:textId="2E8970FA" w:rsidR="00F02622" w:rsidRDefault="00F02622" w:rsidP="00F02622">
      <w:pPr>
        <w:pStyle w:val="Heading1"/>
        <w:rPr>
          <w:rFonts w:asciiTheme="minorHAnsi" w:hAnsiTheme="minorHAnsi" w:cstheme="minorHAnsi"/>
          <w:b w:val="0"/>
          <w:bCs w:val="0"/>
          <w:u w:val="none"/>
        </w:rPr>
      </w:pPr>
    </w:p>
    <w:p w14:paraId="69BFECE0" w14:textId="3237472F" w:rsidR="00F02622" w:rsidRPr="00203454" w:rsidRDefault="00F02622" w:rsidP="00F02622">
      <w:pPr>
        <w:pStyle w:val="Heading1"/>
        <w:numPr>
          <w:ilvl w:val="0"/>
          <w:numId w:val="32"/>
        </w:numPr>
        <w:rPr>
          <w:rFonts w:asciiTheme="minorHAnsi" w:hAnsiTheme="minorHAnsi" w:cstheme="minorHAnsi"/>
        </w:rPr>
      </w:pPr>
      <w:r w:rsidRPr="00203454">
        <w:rPr>
          <w:rFonts w:asciiTheme="minorHAnsi" w:hAnsiTheme="minorHAnsi" w:cstheme="minorHAnsi"/>
          <w:u w:val="none"/>
        </w:rPr>
        <w:t>Fixed Income Bonds and Municipal Securities</w:t>
      </w:r>
    </w:p>
    <w:p w14:paraId="5E4E5636" w14:textId="0879C091" w:rsidR="00F938E9" w:rsidRDefault="00AB3000" w:rsidP="008F234E">
      <w:pPr>
        <w:pStyle w:val="Heading1"/>
        <w:kinsoku w:val="0"/>
        <w:overflowPunct w:val="0"/>
        <w:ind w:left="0"/>
        <w:rPr>
          <w:rFonts w:asciiTheme="minorHAnsi" w:hAnsiTheme="minorHAnsi" w:cstheme="minorHAnsi"/>
          <w:b w:val="0"/>
          <w:bCs w:val="0"/>
          <w:u w:val="none"/>
        </w:rPr>
      </w:pPr>
      <w:r w:rsidRPr="008B4D59">
        <w:rPr>
          <w:rFonts w:asciiTheme="minorHAnsi" w:hAnsiTheme="minorHAnsi" w:cstheme="minorHAnsi"/>
          <w:b w:val="0"/>
          <w:bCs w:val="0"/>
          <w:u w:val="none"/>
        </w:rPr>
        <w:t>Corporate Bonds, Government Bonds and Municipal Bonds are also traded on the U.S exchanges</w:t>
      </w:r>
      <w:r w:rsidR="00D33DA0" w:rsidRPr="008B4D59">
        <w:rPr>
          <w:rFonts w:asciiTheme="minorHAnsi" w:hAnsiTheme="minorHAnsi" w:cstheme="minorHAnsi"/>
          <w:b w:val="0"/>
          <w:bCs w:val="0"/>
          <w:u w:val="none"/>
        </w:rPr>
        <w:t xml:space="preserve"> and the customer is charged a </w:t>
      </w:r>
      <w:r w:rsidR="00E775FB" w:rsidRPr="008B4D59">
        <w:rPr>
          <w:rFonts w:asciiTheme="minorHAnsi" w:hAnsiTheme="minorHAnsi" w:cstheme="minorHAnsi"/>
          <w:b w:val="0"/>
          <w:bCs w:val="0"/>
          <w:u w:val="none"/>
        </w:rPr>
        <w:t xml:space="preserve">fee </w:t>
      </w:r>
      <w:r w:rsidR="00D33DA0" w:rsidRPr="008B4D59">
        <w:rPr>
          <w:rFonts w:asciiTheme="minorHAnsi" w:hAnsiTheme="minorHAnsi" w:cstheme="minorHAnsi"/>
          <w:b w:val="0"/>
          <w:bCs w:val="0"/>
          <w:u w:val="none"/>
        </w:rPr>
        <w:t xml:space="preserve">which is called a “markup or </w:t>
      </w:r>
      <w:r w:rsidR="008F234E" w:rsidRPr="008B4D59">
        <w:rPr>
          <w:rFonts w:asciiTheme="minorHAnsi" w:hAnsiTheme="minorHAnsi" w:cstheme="minorHAnsi"/>
          <w:b w:val="0"/>
          <w:bCs w:val="0"/>
          <w:u w:val="none"/>
        </w:rPr>
        <w:t>markdown “on</w:t>
      </w:r>
      <w:r w:rsidR="00D33DA0" w:rsidRPr="008B4D59">
        <w:rPr>
          <w:rFonts w:asciiTheme="minorHAnsi" w:hAnsiTheme="minorHAnsi" w:cstheme="minorHAnsi"/>
          <w:b w:val="0"/>
          <w:bCs w:val="0"/>
          <w:u w:val="none"/>
        </w:rPr>
        <w:t xml:space="preserve"> the bond</w:t>
      </w:r>
      <w:r w:rsidR="008F234E" w:rsidRPr="008B4D59">
        <w:rPr>
          <w:rFonts w:asciiTheme="minorHAnsi" w:hAnsiTheme="minorHAnsi" w:cstheme="minorHAnsi"/>
          <w:b w:val="0"/>
          <w:bCs w:val="0"/>
          <w:u w:val="none"/>
        </w:rPr>
        <w:t xml:space="preserve"> </w:t>
      </w:r>
      <w:r w:rsidR="00D33DA0" w:rsidRPr="008B4D59">
        <w:rPr>
          <w:rFonts w:asciiTheme="minorHAnsi" w:hAnsiTheme="minorHAnsi" w:cstheme="minorHAnsi"/>
          <w:b w:val="0"/>
          <w:bCs w:val="0"/>
          <w:u w:val="none"/>
        </w:rPr>
        <w:t xml:space="preserve">purchased. </w:t>
      </w:r>
      <w:r w:rsidR="00FF51E9" w:rsidRPr="008B4D59">
        <w:rPr>
          <w:rFonts w:asciiTheme="minorHAnsi" w:hAnsiTheme="minorHAnsi" w:cstheme="minorHAnsi"/>
          <w:b w:val="0"/>
          <w:bCs w:val="0"/>
          <w:u w:val="none"/>
        </w:rPr>
        <w:t xml:space="preserve"> The markup and markdown will be shown on your confirmation as a percentage</w:t>
      </w:r>
      <w:r w:rsidR="00E775FB" w:rsidRPr="008B4D59">
        <w:rPr>
          <w:rFonts w:asciiTheme="minorHAnsi" w:hAnsiTheme="minorHAnsi" w:cstheme="minorHAnsi"/>
          <w:b w:val="0"/>
          <w:bCs w:val="0"/>
          <w:u w:val="none"/>
        </w:rPr>
        <w:t xml:space="preserve"> and dollar amount which reflects the amount you </w:t>
      </w:r>
      <w:r w:rsidR="00FF51E9" w:rsidRPr="008B4D59">
        <w:rPr>
          <w:rFonts w:asciiTheme="minorHAnsi" w:hAnsiTheme="minorHAnsi" w:cstheme="minorHAnsi"/>
          <w:b w:val="0"/>
          <w:bCs w:val="0"/>
          <w:u w:val="none"/>
        </w:rPr>
        <w:t xml:space="preserve">pay.  </w:t>
      </w:r>
      <w:r w:rsidR="00E775FB" w:rsidRPr="008B4D59">
        <w:rPr>
          <w:rFonts w:asciiTheme="minorHAnsi" w:hAnsiTheme="minorHAnsi" w:cstheme="minorHAnsi"/>
          <w:b w:val="0"/>
          <w:bCs w:val="0"/>
          <w:u w:val="none"/>
        </w:rPr>
        <w:t>The amount of fees charged</w:t>
      </w:r>
      <w:r w:rsidR="008F234E" w:rsidRPr="008B4D59">
        <w:rPr>
          <w:rFonts w:asciiTheme="minorHAnsi" w:hAnsiTheme="minorHAnsi" w:cstheme="minorHAnsi"/>
          <w:b w:val="0"/>
          <w:bCs w:val="0"/>
          <w:u w:val="none"/>
        </w:rPr>
        <w:t xml:space="preserve"> on bonds are based on the type of </w:t>
      </w:r>
      <w:r w:rsidR="00E775FB" w:rsidRPr="008B4D59">
        <w:rPr>
          <w:rFonts w:asciiTheme="minorHAnsi" w:hAnsiTheme="minorHAnsi" w:cstheme="minorHAnsi"/>
          <w:b w:val="0"/>
          <w:bCs w:val="0"/>
          <w:u w:val="none"/>
        </w:rPr>
        <w:t>bond,</w:t>
      </w:r>
      <w:r w:rsidR="008F234E" w:rsidRPr="008B4D59">
        <w:rPr>
          <w:rFonts w:asciiTheme="minorHAnsi" w:hAnsiTheme="minorHAnsi" w:cstheme="minorHAnsi"/>
          <w:b w:val="0"/>
          <w:bCs w:val="0"/>
          <w:u w:val="none"/>
        </w:rPr>
        <w:t xml:space="preserve"> liquidity</w:t>
      </w:r>
      <w:r w:rsidR="00E775FB" w:rsidRPr="008B4D59">
        <w:rPr>
          <w:rFonts w:asciiTheme="minorHAnsi" w:hAnsiTheme="minorHAnsi" w:cstheme="minorHAnsi"/>
          <w:b w:val="0"/>
          <w:bCs w:val="0"/>
          <w:u w:val="none"/>
        </w:rPr>
        <w:t>/availability</w:t>
      </w:r>
      <w:r w:rsidR="008F234E" w:rsidRPr="008B4D59">
        <w:rPr>
          <w:rFonts w:asciiTheme="minorHAnsi" w:hAnsiTheme="minorHAnsi" w:cstheme="minorHAnsi"/>
          <w:b w:val="0"/>
          <w:bCs w:val="0"/>
          <w:u w:val="none"/>
        </w:rPr>
        <w:t xml:space="preserve"> of the </w:t>
      </w:r>
      <w:r w:rsidR="00E775FB" w:rsidRPr="008B4D59">
        <w:rPr>
          <w:rFonts w:asciiTheme="minorHAnsi" w:hAnsiTheme="minorHAnsi" w:cstheme="minorHAnsi"/>
          <w:b w:val="0"/>
          <w:bCs w:val="0"/>
          <w:u w:val="none"/>
        </w:rPr>
        <w:t>bond</w:t>
      </w:r>
      <w:r w:rsidR="008F234E" w:rsidRPr="008B4D59">
        <w:rPr>
          <w:rFonts w:asciiTheme="minorHAnsi" w:hAnsiTheme="minorHAnsi" w:cstheme="minorHAnsi"/>
          <w:b w:val="0"/>
          <w:bCs w:val="0"/>
          <w:u w:val="none"/>
        </w:rPr>
        <w:t xml:space="preserve">, </w:t>
      </w:r>
      <w:r w:rsidR="002770C7" w:rsidRPr="008B4D59">
        <w:rPr>
          <w:rFonts w:asciiTheme="minorHAnsi" w:hAnsiTheme="minorHAnsi" w:cstheme="minorHAnsi"/>
          <w:b w:val="0"/>
          <w:bCs w:val="0"/>
          <w:u w:val="none"/>
        </w:rPr>
        <w:t>s</w:t>
      </w:r>
      <w:r w:rsidR="008F234E" w:rsidRPr="008B4D59">
        <w:rPr>
          <w:rFonts w:asciiTheme="minorHAnsi" w:hAnsiTheme="minorHAnsi" w:cstheme="minorHAnsi"/>
          <w:b w:val="0"/>
          <w:bCs w:val="0"/>
          <w:u w:val="none"/>
        </w:rPr>
        <w:t>ize of the order</w:t>
      </w:r>
      <w:r w:rsidR="002770C7" w:rsidRPr="008B4D59">
        <w:rPr>
          <w:rFonts w:asciiTheme="minorHAnsi" w:hAnsiTheme="minorHAnsi" w:cstheme="minorHAnsi"/>
          <w:b w:val="0"/>
          <w:bCs w:val="0"/>
          <w:u w:val="none"/>
        </w:rPr>
        <w:t>, and specific bond characteristics</w:t>
      </w:r>
      <w:r w:rsidR="008F234E" w:rsidRPr="008B4D59">
        <w:rPr>
          <w:rFonts w:asciiTheme="minorHAnsi" w:hAnsiTheme="minorHAnsi" w:cstheme="minorHAnsi"/>
          <w:b w:val="0"/>
          <w:bCs w:val="0"/>
          <w:u w:val="none"/>
        </w:rPr>
        <w:t xml:space="preserve">.  Where these fees apply, the more transactions you </w:t>
      </w:r>
      <w:proofErr w:type="gramStart"/>
      <w:r w:rsidR="008F234E" w:rsidRPr="008B4D59">
        <w:rPr>
          <w:rFonts w:asciiTheme="minorHAnsi" w:hAnsiTheme="minorHAnsi" w:cstheme="minorHAnsi"/>
          <w:b w:val="0"/>
          <w:bCs w:val="0"/>
          <w:u w:val="none"/>
        </w:rPr>
        <w:t>enter into</w:t>
      </w:r>
      <w:proofErr w:type="gramEnd"/>
      <w:r w:rsidR="008F234E" w:rsidRPr="008B4D59">
        <w:rPr>
          <w:rFonts w:asciiTheme="minorHAnsi" w:hAnsiTheme="minorHAnsi" w:cstheme="minorHAnsi"/>
          <w:b w:val="0"/>
          <w:bCs w:val="0"/>
          <w:u w:val="none"/>
        </w:rPr>
        <w:t>, the more</w:t>
      </w:r>
      <w:r w:rsidR="008F234E" w:rsidRPr="008F234E">
        <w:rPr>
          <w:rFonts w:asciiTheme="minorHAnsi" w:hAnsiTheme="minorHAnsi" w:cstheme="minorHAnsi"/>
          <w:b w:val="0"/>
          <w:bCs w:val="0"/>
          <w:u w:val="none"/>
        </w:rPr>
        <w:t xml:space="preserve"> compensation that we and your financial professional receive. This compensation creates an incentive for us to recommend that you buy and sell, rather than hold, these investments. Alternatively, in less active accounts, compensation may be higher in an asset-based advisory fee structure, which creates an incentive for us to recommend that format. We also have an incentive to recommend that you purchase investment products that carry higher fees, instead of products that carry lower fees or no fees at all. </w:t>
      </w:r>
      <w:r w:rsidR="006E69C6" w:rsidRPr="008F234E">
        <w:rPr>
          <w:rFonts w:asciiTheme="minorHAnsi" w:hAnsiTheme="minorHAnsi" w:cstheme="minorHAnsi"/>
          <w:b w:val="0"/>
          <w:bCs w:val="0"/>
          <w:u w:val="none"/>
        </w:rPr>
        <w:t>To</w:t>
      </w:r>
      <w:r w:rsidR="008F234E" w:rsidRPr="008F234E">
        <w:rPr>
          <w:rFonts w:asciiTheme="minorHAnsi" w:hAnsiTheme="minorHAnsi" w:cstheme="minorHAnsi"/>
          <w:b w:val="0"/>
          <w:bCs w:val="0"/>
          <w:u w:val="none"/>
        </w:rPr>
        <w:t xml:space="preserve"> mitigate this conflict of interest, AC is disclosing this conflict to its clients, and supervises the recommendations of your AC Representative.</w:t>
      </w:r>
    </w:p>
    <w:p w14:paraId="76882AC8" w14:textId="77777777" w:rsidR="00441068" w:rsidRPr="00364F33" w:rsidRDefault="00441068" w:rsidP="00BD41FD">
      <w:pPr>
        <w:pStyle w:val="BodyText"/>
        <w:kinsoku w:val="0"/>
        <w:overflowPunct w:val="0"/>
        <w:ind w:right="2"/>
        <w:rPr>
          <w:rFonts w:asciiTheme="minorHAnsi" w:hAnsiTheme="minorHAnsi" w:cstheme="minorHAnsi"/>
          <w:sz w:val="24"/>
          <w:szCs w:val="24"/>
        </w:rPr>
      </w:pPr>
    </w:p>
    <w:p w14:paraId="6BCDA677" w14:textId="2762C87B" w:rsidR="00F7361D" w:rsidRDefault="00F7361D" w:rsidP="00441068">
      <w:pPr>
        <w:pStyle w:val="BodyText"/>
        <w:numPr>
          <w:ilvl w:val="0"/>
          <w:numId w:val="32"/>
        </w:numPr>
        <w:kinsoku w:val="0"/>
        <w:overflowPunct w:val="0"/>
        <w:ind w:right="2"/>
        <w:rPr>
          <w:rFonts w:asciiTheme="minorHAnsi" w:hAnsiTheme="minorHAnsi" w:cstheme="minorHAnsi"/>
          <w:b/>
          <w:bCs/>
          <w:sz w:val="24"/>
          <w:szCs w:val="24"/>
        </w:rPr>
      </w:pPr>
      <w:r w:rsidRPr="00F527DB">
        <w:rPr>
          <w:rFonts w:asciiTheme="minorHAnsi" w:hAnsiTheme="minorHAnsi" w:cstheme="minorHAnsi"/>
          <w:b/>
          <w:bCs/>
          <w:sz w:val="24"/>
          <w:szCs w:val="24"/>
        </w:rPr>
        <w:t>Forgivable Loans</w:t>
      </w:r>
    </w:p>
    <w:p w14:paraId="17FA2117" w14:textId="63DC2F77" w:rsidR="00701CBD" w:rsidRPr="00EB233B" w:rsidRDefault="008B4D59" w:rsidP="00BD41FD">
      <w:pPr>
        <w:pStyle w:val="BodyText"/>
        <w:kinsoku w:val="0"/>
        <w:overflowPunct w:val="0"/>
        <w:ind w:right="2"/>
        <w:rPr>
          <w:rFonts w:asciiTheme="minorHAnsi" w:hAnsiTheme="minorHAnsi" w:cstheme="minorHAnsi"/>
          <w:sz w:val="24"/>
          <w:szCs w:val="24"/>
        </w:rPr>
      </w:pPr>
      <w:r w:rsidRPr="008B4D59">
        <w:rPr>
          <w:rFonts w:asciiTheme="minorHAnsi" w:hAnsiTheme="minorHAnsi" w:cstheme="minorHAnsi"/>
          <w:sz w:val="24"/>
          <w:szCs w:val="24"/>
        </w:rPr>
        <w:t xml:space="preserve">Forgivable Loans are sometimes used as an incentive in the financial services industry for an Account Representative to join </w:t>
      </w:r>
      <w:proofErr w:type="spellStart"/>
      <w:r w:rsidRPr="008B4D59">
        <w:rPr>
          <w:rFonts w:asciiTheme="minorHAnsi" w:hAnsiTheme="minorHAnsi" w:cstheme="minorHAnsi"/>
          <w:sz w:val="24"/>
          <w:szCs w:val="24"/>
        </w:rPr>
        <w:t>Arkadios</w:t>
      </w:r>
      <w:proofErr w:type="spellEnd"/>
      <w:r w:rsidRPr="008B4D59">
        <w:rPr>
          <w:rFonts w:asciiTheme="minorHAnsi" w:hAnsiTheme="minorHAnsi" w:cstheme="minorHAnsi"/>
          <w:sz w:val="24"/>
          <w:szCs w:val="24"/>
        </w:rPr>
        <w:t xml:space="preserve"> Capital or one of our affiliates. </w:t>
      </w:r>
      <w:r w:rsidR="001C02A1" w:rsidRPr="00EB233B">
        <w:rPr>
          <w:rFonts w:asciiTheme="minorHAnsi" w:hAnsiTheme="minorHAnsi" w:cstheme="minorHAnsi"/>
          <w:sz w:val="24"/>
          <w:szCs w:val="24"/>
        </w:rPr>
        <w:t>N</w:t>
      </w:r>
      <w:r w:rsidR="00F527DB" w:rsidRPr="00EB233B">
        <w:rPr>
          <w:rFonts w:asciiTheme="minorHAnsi" w:hAnsiTheme="minorHAnsi" w:cstheme="minorHAnsi"/>
          <w:sz w:val="24"/>
          <w:szCs w:val="24"/>
        </w:rPr>
        <w:t>ormally</w:t>
      </w:r>
      <w:r w:rsidR="001C02A1" w:rsidRPr="00EB233B">
        <w:rPr>
          <w:rFonts w:asciiTheme="minorHAnsi" w:hAnsiTheme="minorHAnsi" w:cstheme="minorHAnsi"/>
          <w:sz w:val="24"/>
          <w:szCs w:val="24"/>
        </w:rPr>
        <w:t>,</w:t>
      </w:r>
      <w:r w:rsidR="00F7361D" w:rsidRPr="00EB233B">
        <w:rPr>
          <w:rFonts w:asciiTheme="minorHAnsi" w:hAnsiTheme="minorHAnsi" w:cstheme="minorHAnsi"/>
          <w:sz w:val="24"/>
          <w:szCs w:val="24"/>
        </w:rPr>
        <w:t xml:space="preserve"> they are structured as an initial lump sum loan </w:t>
      </w:r>
      <w:r w:rsidR="00B12F59" w:rsidRPr="00EB233B">
        <w:rPr>
          <w:rFonts w:asciiTheme="minorHAnsi" w:hAnsiTheme="minorHAnsi" w:cstheme="minorHAnsi"/>
          <w:sz w:val="24"/>
          <w:szCs w:val="24"/>
        </w:rPr>
        <w:t>t</w:t>
      </w:r>
      <w:r w:rsidR="00F7361D" w:rsidRPr="00EB233B">
        <w:rPr>
          <w:rFonts w:asciiTheme="minorHAnsi" w:hAnsiTheme="minorHAnsi" w:cstheme="minorHAnsi"/>
          <w:sz w:val="24"/>
          <w:szCs w:val="24"/>
        </w:rPr>
        <w:t>hat is paid to the Representative, with a portion of the loan accrued and forgiven each month until mat</w:t>
      </w:r>
      <w:r w:rsidR="00FF51E9" w:rsidRPr="00EB233B">
        <w:rPr>
          <w:rFonts w:asciiTheme="minorHAnsi" w:hAnsiTheme="minorHAnsi" w:cstheme="minorHAnsi"/>
          <w:sz w:val="24"/>
          <w:szCs w:val="24"/>
        </w:rPr>
        <w:t>urity</w:t>
      </w:r>
      <w:r w:rsidR="00F7361D" w:rsidRPr="00EB233B">
        <w:rPr>
          <w:rFonts w:asciiTheme="minorHAnsi" w:hAnsiTheme="minorHAnsi" w:cstheme="minorHAnsi"/>
          <w:sz w:val="24"/>
          <w:szCs w:val="24"/>
        </w:rPr>
        <w:t xml:space="preserve">. This repayment period typically covers several years. </w:t>
      </w:r>
    </w:p>
    <w:p w14:paraId="7376E978" w14:textId="77777777" w:rsidR="00701CBD" w:rsidRPr="00EB233B" w:rsidRDefault="00701CBD" w:rsidP="00BD41FD">
      <w:pPr>
        <w:pStyle w:val="BodyText"/>
        <w:kinsoku w:val="0"/>
        <w:overflowPunct w:val="0"/>
        <w:ind w:right="2"/>
        <w:rPr>
          <w:rFonts w:asciiTheme="minorHAnsi" w:hAnsiTheme="minorHAnsi" w:cstheme="minorHAnsi"/>
          <w:sz w:val="24"/>
          <w:szCs w:val="24"/>
        </w:rPr>
      </w:pPr>
    </w:p>
    <w:p w14:paraId="4CCEF91F" w14:textId="296806A7" w:rsidR="003145E1" w:rsidRPr="00EB233B" w:rsidRDefault="00B12F59" w:rsidP="00BD41FD">
      <w:pPr>
        <w:pStyle w:val="BodyText"/>
        <w:kinsoku w:val="0"/>
        <w:overflowPunct w:val="0"/>
        <w:ind w:right="2"/>
        <w:rPr>
          <w:rFonts w:asciiTheme="minorHAnsi" w:hAnsiTheme="minorHAnsi" w:cstheme="minorHAnsi"/>
          <w:sz w:val="24"/>
          <w:szCs w:val="24"/>
        </w:rPr>
      </w:pPr>
      <w:r w:rsidRPr="00EB233B">
        <w:rPr>
          <w:rFonts w:asciiTheme="minorHAnsi" w:hAnsiTheme="minorHAnsi" w:cstheme="minorHAnsi"/>
          <w:sz w:val="24"/>
          <w:szCs w:val="24"/>
        </w:rPr>
        <w:t xml:space="preserve">AC </w:t>
      </w:r>
      <w:r w:rsidR="00FF51E9" w:rsidRPr="00EB233B">
        <w:rPr>
          <w:rFonts w:asciiTheme="minorHAnsi" w:hAnsiTheme="minorHAnsi" w:cstheme="minorHAnsi"/>
          <w:sz w:val="24"/>
          <w:szCs w:val="24"/>
        </w:rPr>
        <w:t xml:space="preserve">may </w:t>
      </w:r>
      <w:r w:rsidRPr="00EB233B">
        <w:rPr>
          <w:rFonts w:asciiTheme="minorHAnsi" w:hAnsiTheme="minorHAnsi" w:cstheme="minorHAnsi"/>
          <w:sz w:val="24"/>
          <w:szCs w:val="24"/>
        </w:rPr>
        <w:t xml:space="preserve">provide </w:t>
      </w:r>
      <w:r w:rsidR="00701CBD" w:rsidRPr="00EB233B">
        <w:rPr>
          <w:rFonts w:asciiTheme="minorHAnsi" w:hAnsiTheme="minorHAnsi" w:cstheme="minorHAnsi"/>
          <w:sz w:val="24"/>
          <w:szCs w:val="24"/>
        </w:rPr>
        <w:t>forgivable loans to Representatives such that</w:t>
      </w:r>
      <w:r w:rsidR="003145E1" w:rsidRPr="00EB233B">
        <w:rPr>
          <w:rFonts w:asciiTheme="minorHAnsi" w:hAnsiTheme="minorHAnsi" w:cstheme="minorHAnsi"/>
          <w:sz w:val="24"/>
          <w:szCs w:val="24"/>
        </w:rPr>
        <w:t xml:space="preserve"> if the representative leaves AC or is terminated for cause during the period specified </w:t>
      </w:r>
      <w:r w:rsidR="00AA11E9" w:rsidRPr="00EB233B">
        <w:rPr>
          <w:rFonts w:asciiTheme="minorHAnsi" w:hAnsiTheme="minorHAnsi" w:cstheme="minorHAnsi"/>
          <w:sz w:val="24"/>
          <w:szCs w:val="24"/>
        </w:rPr>
        <w:t>in their written agreement, a portion of the money they received</w:t>
      </w:r>
      <w:r w:rsidR="00315F7D" w:rsidRPr="00EB233B">
        <w:rPr>
          <w:rFonts w:asciiTheme="minorHAnsi" w:hAnsiTheme="minorHAnsi" w:cstheme="minorHAnsi"/>
          <w:sz w:val="24"/>
          <w:szCs w:val="24"/>
        </w:rPr>
        <w:t xml:space="preserve"> must be paid back to AC.  </w:t>
      </w:r>
      <w:r w:rsidR="000D4086" w:rsidRPr="00EB233B">
        <w:rPr>
          <w:rFonts w:asciiTheme="minorHAnsi" w:hAnsiTheme="minorHAnsi" w:cstheme="minorHAnsi"/>
          <w:sz w:val="24"/>
          <w:szCs w:val="24"/>
        </w:rPr>
        <w:t xml:space="preserve">This creates a conflict of interest </w:t>
      </w:r>
      <w:r w:rsidR="001A4E51" w:rsidRPr="00EB233B">
        <w:rPr>
          <w:rFonts w:asciiTheme="minorHAnsi" w:hAnsiTheme="minorHAnsi" w:cstheme="minorHAnsi"/>
          <w:sz w:val="24"/>
          <w:szCs w:val="24"/>
        </w:rPr>
        <w:t xml:space="preserve">because </w:t>
      </w:r>
      <w:r w:rsidR="00A83ED4" w:rsidRPr="00EB233B">
        <w:rPr>
          <w:rFonts w:asciiTheme="minorHAnsi" w:hAnsiTheme="minorHAnsi" w:cstheme="minorHAnsi"/>
          <w:sz w:val="24"/>
          <w:szCs w:val="24"/>
        </w:rPr>
        <w:t xml:space="preserve">it can create a monetary incentive for your Account Representative to stay with our firm until the loan is forgiven (matures).  </w:t>
      </w:r>
    </w:p>
    <w:p w14:paraId="6A44ABEC" w14:textId="0FC2BA4D" w:rsidR="00A67328" w:rsidRDefault="00A67328" w:rsidP="00BD41FD">
      <w:pPr>
        <w:pStyle w:val="BodyText"/>
        <w:kinsoku w:val="0"/>
        <w:overflowPunct w:val="0"/>
        <w:ind w:right="2"/>
        <w:rPr>
          <w:rFonts w:asciiTheme="minorHAnsi" w:hAnsiTheme="minorHAnsi" w:cstheme="minorHAnsi"/>
          <w:sz w:val="24"/>
          <w:szCs w:val="24"/>
        </w:rPr>
      </w:pPr>
    </w:p>
    <w:p w14:paraId="3C71CF00" w14:textId="77777777" w:rsidR="007616EE" w:rsidRDefault="007616EE" w:rsidP="00BD41FD">
      <w:pPr>
        <w:pStyle w:val="BodyText"/>
        <w:kinsoku w:val="0"/>
        <w:overflowPunct w:val="0"/>
        <w:ind w:right="2"/>
        <w:rPr>
          <w:rFonts w:asciiTheme="minorHAnsi" w:hAnsiTheme="minorHAnsi" w:cstheme="minorHAnsi"/>
          <w:sz w:val="24"/>
          <w:szCs w:val="24"/>
        </w:rPr>
      </w:pPr>
    </w:p>
    <w:p w14:paraId="1029A002" w14:textId="77777777" w:rsidR="008B4D59" w:rsidRDefault="008B4D59" w:rsidP="00BD41FD">
      <w:pPr>
        <w:pStyle w:val="BodyText"/>
        <w:kinsoku w:val="0"/>
        <w:overflowPunct w:val="0"/>
        <w:ind w:right="2"/>
        <w:rPr>
          <w:rFonts w:asciiTheme="minorHAnsi" w:hAnsiTheme="minorHAnsi" w:cstheme="minorHAnsi"/>
          <w:sz w:val="24"/>
          <w:szCs w:val="24"/>
        </w:rPr>
      </w:pPr>
    </w:p>
    <w:p w14:paraId="5FC57FDA" w14:textId="16E21028" w:rsidR="00A67328" w:rsidRPr="002E56B3" w:rsidRDefault="00A67328" w:rsidP="00AB175B">
      <w:pPr>
        <w:pStyle w:val="BodyText"/>
        <w:numPr>
          <w:ilvl w:val="0"/>
          <w:numId w:val="32"/>
        </w:numPr>
        <w:kinsoku w:val="0"/>
        <w:overflowPunct w:val="0"/>
        <w:ind w:right="2"/>
        <w:rPr>
          <w:rFonts w:asciiTheme="minorHAnsi" w:hAnsiTheme="minorHAnsi" w:cstheme="minorHAnsi"/>
          <w:b/>
          <w:bCs/>
          <w:sz w:val="24"/>
          <w:szCs w:val="24"/>
        </w:rPr>
      </w:pPr>
      <w:r w:rsidRPr="002E56B3">
        <w:rPr>
          <w:rFonts w:asciiTheme="minorHAnsi" w:hAnsiTheme="minorHAnsi" w:cstheme="minorHAnsi"/>
          <w:b/>
          <w:bCs/>
          <w:sz w:val="24"/>
          <w:szCs w:val="24"/>
        </w:rPr>
        <w:t>Agency Cross Transactions</w:t>
      </w:r>
    </w:p>
    <w:p w14:paraId="1EDFF3C4" w14:textId="4AAB9823" w:rsidR="00A67328" w:rsidRDefault="00A67328" w:rsidP="00BD41FD">
      <w:pPr>
        <w:pStyle w:val="BodyText"/>
        <w:kinsoku w:val="0"/>
        <w:overflowPunct w:val="0"/>
        <w:ind w:right="2"/>
        <w:rPr>
          <w:rFonts w:asciiTheme="minorHAnsi" w:hAnsiTheme="minorHAnsi" w:cstheme="minorHAnsi"/>
          <w:sz w:val="24"/>
          <w:szCs w:val="24"/>
        </w:rPr>
      </w:pPr>
      <w:r>
        <w:rPr>
          <w:rFonts w:asciiTheme="minorHAnsi" w:hAnsiTheme="minorHAnsi" w:cstheme="minorHAnsi"/>
          <w:sz w:val="24"/>
          <w:szCs w:val="24"/>
        </w:rPr>
        <w:t>There are instances</w:t>
      </w:r>
      <w:r w:rsidR="000A210F">
        <w:rPr>
          <w:rFonts w:asciiTheme="minorHAnsi" w:hAnsiTheme="minorHAnsi" w:cstheme="minorHAnsi"/>
          <w:sz w:val="24"/>
          <w:szCs w:val="24"/>
        </w:rPr>
        <w:t xml:space="preserve"> when the Firm or an affiliate will have an opportunity to act as agent for both buyer and seller in a </w:t>
      </w:r>
      <w:r w:rsidR="002E56B3">
        <w:rPr>
          <w:rFonts w:asciiTheme="minorHAnsi" w:hAnsiTheme="minorHAnsi" w:cstheme="minorHAnsi"/>
          <w:sz w:val="24"/>
          <w:szCs w:val="24"/>
        </w:rPr>
        <w:t>securities transaction</w:t>
      </w:r>
      <w:r w:rsidR="000A210F">
        <w:rPr>
          <w:rFonts w:asciiTheme="minorHAnsi" w:hAnsiTheme="minorHAnsi" w:cstheme="minorHAnsi"/>
          <w:sz w:val="24"/>
          <w:szCs w:val="24"/>
        </w:rPr>
        <w:t xml:space="preserve">.  This is called an “agency cross transaction.”  </w:t>
      </w:r>
      <w:r w:rsidR="001876A5">
        <w:rPr>
          <w:rFonts w:asciiTheme="minorHAnsi" w:hAnsiTheme="minorHAnsi" w:cstheme="minorHAnsi"/>
          <w:sz w:val="24"/>
          <w:szCs w:val="24"/>
        </w:rPr>
        <w:t xml:space="preserve">Because the Firm would </w:t>
      </w:r>
      <w:r w:rsidR="002E56B3">
        <w:rPr>
          <w:rFonts w:asciiTheme="minorHAnsi" w:hAnsiTheme="minorHAnsi" w:cstheme="minorHAnsi"/>
          <w:sz w:val="24"/>
          <w:szCs w:val="24"/>
        </w:rPr>
        <w:t>receive</w:t>
      </w:r>
      <w:r w:rsidR="001876A5">
        <w:rPr>
          <w:rFonts w:asciiTheme="minorHAnsi" w:hAnsiTheme="minorHAnsi" w:cstheme="minorHAnsi"/>
          <w:sz w:val="24"/>
          <w:szCs w:val="24"/>
        </w:rPr>
        <w:t xml:space="preserve"> </w:t>
      </w:r>
      <w:r w:rsidR="002E56B3">
        <w:rPr>
          <w:rFonts w:asciiTheme="minorHAnsi" w:hAnsiTheme="minorHAnsi" w:cstheme="minorHAnsi"/>
          <w:sz w:val="24"/>
          <w:szCs w:val="24"/>
        </w:rPr>
        <w:t>compensation</w:t>
      </w:r>
      <w:r w:rsidR="001876A5">
        <w:rPr>
          <w:rFonts w:asciiTheme="minorHAnsi" w:hAnsiTheme="minorHAnsi" w:cstheme="minorHAnsi"/>
          <w:sz w:val="24"/>
          <w:szCs w:val="24"/>
        </w:rPr>
        <w:t xml:space="preserve"> from each party to such an agency cross </w:t>
      </w:r>
      <w:r w:rsidR="002E56B3">
        <w:rPr>
          <w:rFonts w:asciiTheme="minorHAnsi" w:hAnsiTheme="minorHAnsi" w:cstheme="minorHAnsi"/>
          <w:sz w:val="24"/>
          <w:szCs w:val="24"/>
        </w:rPr>
        <w:t>transaction</w:t>
      </w:r>
      <w:r w:rsidR="001876A5">
        <w:rPr>
          <w:rFonts w:asciiTheme="minorHAnsi" w:hAnsiTheme="minorHAnsi" w:cstheme="minorHAnsi"/>
          <w:sz w:val="24"/>
          <w:szCs w:val="24"/>
        </w:rPr>
        <w:t xml:space="preserve">, there is a conflict of interest.  </w:t>
      </w:r>
      <w:proofErr w:type="gramStart"/>
      <w:r w:rsidR="001876A5">
        <w:rPr>
          <w:rFonts w:asciiTheme="minorHAnsi" w:hAnsiTheme="minorHAnsi" w:cstheme="minorHAnsi"/>
          <w:sz w:val="24"/>
          <w:szCs w:val="24"/>
        </w:rPr>
        <w:t>In order to</w:t>
      </w:r>
      <w:proofErr w:type="gramEnd"/>
      <w:r w:rsidR="001876A5">
        <w:rPr>
          <w:rFonts w:asciiTheme="minorHAnsi" w:hAnsiTheme="minorHAnsi" w:cstheme="minorHAnsi"/>
          <w:sz w:val="24"/>
          <w:szCs w:val="24"/>
        </w:rPr>
        <w:t xml:space="preserve"> minimize/</w:t>
      </w:r>
      <w:r w:rsidR="001876A5" w:rsidRPr="008B4D59">
        <w:rPr>
          <w:rFonts w:asciiTheme="minorHAnsi" w:hAnsiTheme="minorHAnsi" w:cstheme="minorHAnsi"/>
          <w:sz w:val="24"/>
          <w:szCs w:val="24"/>
        </w:rPr>
        <w:t>alleviate the conflict</w:t>
      </w:r>
      <w:r w:rsidR="002E56B3" w:rsidRPr="008B4D59">
        <w:rPr>
          <w:rFonts w:asciiTheme="minorHAnsi" w:hAnsiTheme="minorHAnsi" w:cstheme="minorHAnsi"/>
          <w:sz w:val="24"/>
          <w:szCs w:val="24"/>
        </w:rPr>
        <w:t xml:space="preserve">, we disclose this conflict of interest to you and </w:t>
      </w:r>
      <w:r w:rsidR="006E69C6" w:rsidRPr="008B4D59">
        <w:rPr>
          <w:rFonts w:asciiTheme="minorHAnsi" w:hAnsiTheme="minorHAnsi" w:cstheme="minorHAnsi"/>
          <w:sz w:val="24"/>
          <w:szCs w:val="24"/>
        </w:rPr>
        <w:t>supervise</w:t>
      </w:r>
      <w:r w:rsidR="002E56B3" w:rsidRPr="008B4D59">
        <w:rPr>
          <w:rFonts w:asciiTheme="minorHAnsi" w:hAnsiTheme="minorHAnsi" w:cstheme="minorHAnsi"/>
          <w:sz w:val="24"/>
          <w:szCs w:val="24"/>
        </w:rPr>
        <w:t xml:space="preserve"> the recommendations of your AC Account Representative.</w:t>
      </w:r>
      <w:r w:rsidR="00FF51E9" w:rsidRPr="008B4D59">
        <w:rPr>
          <w:rFonts w:asciiTheme="minorHAnsi" w:hAnsiTheme="minorHAnsi" w:cstheme="minorHAnsi"/>
          <w:sz w:val="24"/>
          <w:szCs w:val="24"/>
        </w:rPr>
        <w:t xml:space="preserve"> </w:t>
      </w:r>
      <w:r w:rsidR="00E775FB" w:rsidRPr="008B4D59">
        <w:rPr>
          <w:rFonts w:asciiTheme="minorHAnsi" w:hAnsiTheme="minorHAnsi" w:cstheme="minorHAnsi"/>
          <w:sz w:val="24"/>
          <w:szCs w:val="24"/>
        </w:rPr>
        <w:t xml:space="preserve">The Firm does not actively engage in agency cross transactions, but the Firm may have an instance in which an agency cross transaction may occur.  </w:t>
      </w:r>
    </w:p>
    <w:p w14:paraId="6527755D" w14:textId="35CE5A0F" w:rsidR="00705896" w:rsidRDefault="00705896" w:rsidP="00BD41FD">
      <w:pPr>
        <w:pStyle w:val="BodyText"/>
        <w:kinsoku w:val="0"/>
        <w:overflowPunct w:val="0"/>
        <w:ind w:right="2"/>
        <w:rPr>
          <w:rFonts w:asciiTheme="minorHAnsi" w:hAnsiTheme="minorHAnsi" w:cstheme="minorHAnsi"/>
          <w:sz w:val="24"/>
          <w:szCs w:val="24"/>
        </w:rPr>
      </w:pPr>
    </w:p>
    <w:p w14:paraId="4861D328" w14:textId="11A207DB" w:rsidR="00705896" w:rsidRPr="00BB4AA5" w:rsidRDefault="00705896" w:rsidP="00AB175B">
      <w:pPr>
        <w:pStyle w:val="BodyText"/>
        <w:numPr>
          <w:ilvl w:val="0"/>
          <w:numId w:val="32"/>
        </w:numPr>
        <w:kinsoku w:val="0"/>
        <w:overflowPunct w:val="0"/>
        <w:ind w:right="2"/>
        <w:rPr>
          <w:rFonts w:asciiTheme="minorHAnsi" w:hAnsiTheme="minorHAnsi" w:cstheme="minorHAnsi"/>
          <w:b/>
          <w:bCs/>
          <w:sz w:val="24"/>
          <w:szCs w:val="24"/>
        </w:rPr>
      </w:pPr>
      <w:r w:rsidRPr="00BB4AA5">
        <w:rPr>
          <w:rFonts w:asciiTheme="minorHAnsi" w:hAnsiTheme="minorHAnsi" w:cstheme="minorHAnsi"/>
          <w:b/>
          <w:bCs/>
          <w:sz w:val="24"/>
          <w:szCs w:val="24"/>
        </w:rPr>
        <w:t>Brokerage vs. Advisory Relationships</w:t>
      </w:r>
    </w:p>
    <w:p w14:paraId="51CA7155" w14:textId="5EF14FBA" w:rsidR="00705896" w:rsidRDefault="00705896" w:rsidP="00BD41FD">
      <w:pPr>
        <w:pStyle w:val="BodyText"/>
        <w:kinsoku w:val="0"/>
        <w:overflowPunct w:val="0"/>
        <w:ind w:right="2"/>
        <w:rPr>
          <w:rFonts w:asciiTheme="minorHAnsi" w:hAnsiTheme="minorHAnsi" w:cstheme="minorHAnsi"/>
          <w:sz w:val="24"/>
          <w:szCs w:val="24"/>
        </w:rPr>
      </w:pPr>
      <w:r>
        <w:rPr>
          <w:rFonts w:asciiTheme="minorHAnsi" w:hAnsiTheme="minorHAnsi" w:cstheme="minorHAnsi"/>
          <w:sz w:val="24"/>
          <w:szCs w:val="24"/>
        </w:rPr>
        <w:t xml:space="preserve">In </w:t>
      </w:r>
      <w:proofErr w:type="spellStart"/>
      <w:r>
        <w:rPr>
          <w:rFonts w:asciiTheme="minorHAnsi" w:hAnsiTheme="minorHAnsi" w:cstheme="minorHAnsi"/>
          <w:sz w:val="24"/>
          <w:szCs w:val="24"/>
        </w:rPr>
        <w:t>Arkadios</w:t>
      </w:r>
      <w:proofErr w:type="spellEnd"/>
      <w:r>
        <w:rPr>
          <w:rFonts w:asciiTheme="minorHAnsi" w:hAnsiTheme="minorHAnsi" w:cstheme="minorHAnsi"/>
          <w:sz w:val="24"/>
          <w:szCs w:val="24"/>
        </w:rPr>
        <w:t xml:space="preserve"> Capital’s capacity as a broker/dealer, we provide </w:t>
      </w:r>
      <w:proofErr w:type="gramStart"/>
      <w:r>
        <w:rPr>
          <w:rFonts w:asciiTheme="minorHAnsi" w:hAnsiTheme="minorHAnsi" w:cstheme="minorHAnsi"/>
          <w:sz w:val="24"/>
          <w:szCs w:val="24"/>
        </w:rPr>
        <w:t>a number of</w:t>
      </w:r>
      <w:proofErr w:type="gramEnd"/>
      <w:r>
        <w:rPr>
          <w:rFonts w:asciiTheme="minorHAnsi" w:hAnsiTheme="minorHAnsi" w:cstheme="minorHAnsi"/>
          <w:sz w:val="24"/>
          <w:szCs w:val="24"/>
        </w:rPr>
        <w:t xml:space="preserve"> services, including, but not limited to executing security </w:t>
      </w:r>
      <w:r w:rsidR="00BB4AA5">
        <w:rPr>
          <w:rFonts w:asciiTheme="minorHAnsi" w:hAnsiTheme="minorHAnsi" w:cstheme="minorHAnsi"/>
          <w:sz w:val="24"/>
          <w:szCs w:val="24"/>
        </w:rPr>
        <w:t>transactions</w:t>
      </w:r>
      <w:r>
        <w:rPr>
          <w:rFonts w:asciiTheme="minorHAnsi" w:hAnsiTheme="minorHAnsi" w:cstheme="minorHAnsi"/>
          <w:sz w:val="24"/>
          <w:szCs w:val="24"/>
        </w:rPr>
        <w:t xml:space="preserve"> and acting as custodian of your brokerage account. </w:t>
      </w:r>
      <w:r w:rsidR="00522B45">
        <w:rPr>
          <w:rFonts w:asciiTheme="minorHAnsi" w:hAnsiTheme="minorHAnsi" w:cstheme="minorHAnsi"/>
          <w:sz w:val="24"/>
          <w:szCs w:val="24"/>
        </w:rPr>
        <w:t xml:space="preserve">Depending upon the level of investment activity, the commissions </w:t>
      </w:r>
      <w:r w:rsidR="006E69C6">
        <w:rPr>
          <w:rFonts w:asciiTheme="minorHAnsi" w:hAnsiTheme="minorHAnsi" w:cstheme="minorHAnsi"/>
          <w:sz w:val="24"/>
          <w:szCs w:val="24"/>
        </w:rPr>
        <w:t>charged</w:t>
      </w:r>
      <w:r w:rsidR="00522B45">
        <w:rPr>
          <w:rFonts w:asciiTheme="minorHAnsi" w:hAnsiTheme="minorHAnsi" w:cstheme="minorHAnsi"/>
          <w:sz w:val="24"/>
          <w:szCs w:val="24"/>
        </w:rPr>
        <w:t xml:space="preserve"> to your brokerage account can be higher than if you chose to select a fee-based investment advisory program managed by our affiliate, AWA.  </w:t>
      </w:r>
    </w:p>
    <w:p w14:paraId="53882C1A" w14:textId="77777777" w:rsidR="00A626F1" w:rsidRDefault="00A626F1" w:rsidP="00BD41FD">
      <w:pPr>
        <w:pStyle w:val="BodyText"/>
        <w:kinsoku w:val="0"/>
        <w:overflowPunct w:val="0"/>
        <w:ind w:right="2"/>
        <w:rPr>
          <w:rFonts w:asciiTheme="minorHAnsi" w:hAnsiTheme="minorHAnsi" w:cstheme="minorHAnsi"/>
          <w:sz w:val="24"/>
          <w:szCs w:val="24"/>
        </w:rPr>
      </w:pPr>
    </w:p>
    <w:p w14:paraId="102E8F30" w14:textId="7B797612" w:rsidR="00522B45" w:rsidRDefault="00522B45" w:rsidP="00BD41FD">
      <w:pPr>
        <w:pStyle w:val="BodyText"/>
        <w:kinsoku w:val="0"/>
        <w:overflowPunct w:val="0"/>
        <w:ind w:right="2"/>
        <w:rPr>
          <w:rFonts w:asciiTheme="minorHAnsi" w:hAnsiTheme="minorHAnsi" w:cstheme="minorHAnsi"/>
          <w:sz w:val="24"/>
          <w:szCs w:val="24"/>
        </w:rPr>
      </w:pPr>
      <w:r>
        <w:rPr>
          <w:rFonts w:asciiTheme="minorHAnsi" w:hAnsiTheme="minorHAnsi" w:cstheme="minorHAnsi"/>
          <w:sz w:val="24"/>
          <w:szCs w:val="24"/>
        </w:rPr>
        <w:t>Fee based programs typically assume a normal amount of trading activity</w:t>
      </w:r>
      <w:r w:rsidR="000625AC">
        <w:rPr>
          <w:rFonts w:asciiTheme="minorHAnsi" w:hAnsiTheme="minorHAnsi" w:cstheme="minorHAnsi"/>
          <w:sz w:val="24"/>
          <w:szCs w:val="24"/>
        </w:rPr>
        <w:t xml:space="preserve">, and, therefore, under </w:t>
      </w:r>
      <w:proofErr w:type="gramStart"/>
      <w:r w:rsidR="000625AC">
        <w:rPr>
          <w:rFonts w:asciiTheme="minorHAnsi" w:hAnsiTheme="minorHAnsi" w:cstheme="minorHAnsi"/>
          <w:sz w:val="24"/>
          <w:szCs w:val="24"/>
        </w:rPr>
        <w:t>particular circumstances</w:t>
      </w:r>
      <w:proofErr w:type="gramEnd"/>
      <w:r w:rsidR="000625AC">
        <w:rPr>
          <w:rFonts w:asciiTheme="minorHAnsi" w:hAnsiTheme="minorHAnsi" w:cstheme="minorHAnsi"/>
          <w:sz w:val="24"/>
          <w:szCs w:val="24"/>
        </w:rPr>
        <w:t xml:space="preserve">, prolonged periods of inactivity can result in higher compensation than if commissions were paid separately for each </w:t>
      </w:r>
      <w:r w:rsidR="00BB4AA5">
        <w:rPr>
          <w:rFonts w:asciiTheme="minorHAnsi" w:hAnsiTheme="minorHAnsi" w:cstheme="minorHAnsi"/>
          <w:sz w:val="24"/>
          <w:szCs w:val="24"/>
        </w:rPr>
        <w:t>transaction</w:t>
      </w:r>
      <w:r w:rsidR="000625AC">
        <w:rPr>
          <w:rFonts w:asciiTheme="minorHAnsi" w:hAnsiTheme="minorHAnsi" w:cstheme="minorHAnsi"/>
          <w:sz w:val="24"/>
          <w:szCs w:val="24"/>
        </w:rPr>
        <w:t xml:space="preserve">.  You should consider the value of services provided when making </w:t>
      </w:r>
      <w:r w:rsidR="006E69C6">
        <w:rPr>
          <w:rFonts w:asciiTheme="minorHAnsi" w:hAnsiTheme="minorHAnsi" w:cstheme="minorHAnsi"/>
          <w:sz w:val="24"/>
          <w:szCs w:val="24"/>
        </w:rPr>
        <w:t>a comparison</w:t>
      </w:r>
      <w:r w:rsidR="000625AC">
        <w:rPr>
          <w:rFonts w:asciiTheme="minorHAnsi" w:hAnsiTheme="minorHAnsi" w:cstheme="minorHAnsi"/>
          <w:sz w:val="24"/>
          <w:szCs w:val="24"/>
        </w:rPr>
        <w:t xml:space="preserve"> between brokerage and advisory.  You should also </w:t>
      </w:r>
      <w:r w:rsidR="00341B50">
        <w:rPr>
          <w:rFonts w:asciiTheme="minorHAnsi" w:hAnsiTheme="minorHAnsi" w:cstheme="minorHAnsi"/>
          <w:sz w:val="24"/>
          <w:szCs w:val="24"/>
        </w:rPr>
        <w:t>consider</w:t>
      </w:r>
      <w:r w:rsidR="000625AC">
        <w:rPr>
          <w:rFonts w:asciiTheme="minorHAnsi" w:hAnsiTheme="minorHAnsi" w:cstheme="minorHAnsi"/>
          <w:sz w:val="24"/>
          <w:szCs w:val="24"/>
        </w:rPr>
        <w:t xml:space="preserve"> the amount of anticipated trading </w:t>
      </w:r>
      <w:r w:rsidR="00BB4AA5">
        <w:rPr>
          <w:rFonts w:asciiTheme="minorHAnsi" w:hAnsiTheme="minorHAnsi" w:cstheme="minorHAnsi"/>
          <w:sz w:val="24"/>
          <w:szCs w:val="24"/>
        </w:rPr>
        <w:t>activity</w:t>
      </w:r>
      <w:r w:rsidR="000625AC">
        <w:rPr>
          <w:rFonts w:asciiTheme="minorHAnsi" w:hAnsiTheme="minorHAnsi" w:cstheme="minorHAnsi"/>
          <w:sz w:val="24"/>
          <w:szCs w:val="24"/>
        </w:rPr>
        <w:t xml:space="preserve"> when assessing the overall cost of your investment relationship with the Firm.</w:t>
      </w:r>
    </w:p>
    <w:p w14:paraId="44D022F2" w14:textId="7FD9658B" w:rsidR="000625AC" w:rsidRDefault="000625AC" w:rsidP="00BD41FD">
      <w:pPr>
        <w:pStyle w:val="BodyText"/>
        <w:kinsoku w:val="0"/>
        <w:overflowPunct w:val="0"/>
        <w:ind w:right="2"/>
        <w:rPr>
          <w:rFonts w:asciiTheme="minorHAnsi" w:hAnsiTheme="minorHAnsi" w:cstheme="minorHAnsi"/>
          <w:sz w:val="24"/>
          <w:szCs w:val="24"/>
        </w:rPr>
      </w:pPr>
    </w:p>
    <w:p w14:paraId="52197836" w14:textId="7CD364BD" w:rsidR="000625AC" w:rsidRDefault="000625AC" w:rsidP="00BD41FD">
      <w:pPr>
        <w:pStyle w:val="BodyText"/>
        <w:kinsoku w:val="0"/>
        <w:overflowPunct w:val="0"/>
        <w:ind w:right="2"/>
        <w:rPr>
          <w:rFonts w:asciiTheme="minorHAnsi" w:hAnsiTheme="minorHAnsi" w:cstheme="minorHAnsi"/>
          <w:sz w:val="24"/>
          <w:szCs w:val="24"/>
        </w:rPr>
      </w:pPr>
      <w:r>
        <w:rPr>
          <w:rFonts w:asciiTheme="minorHAnsi" w:hAnsiTheme="minorHAnsi" w:cstheme="minorHAnsi"/>
          <w:sz w:val="24"/>
          <w:szCs w:val="24"/>
        </w:rPr>
        <w:t xml:space="preserve">To the extent that AC and our AC Representative will </w:t>
      </w:r>
      <w:r w:rsidR="00BB4AA5">
        <w:rPr>
          <w:rFonts w:asciiTheme="minorHAnsi" w:hAnsiTheme="minorHAnsi" w:cstheme="minorHAnsi"/>
          <w:sz w:val="24"/>
          <w:szCs w:val="24"/>
        </w:rPr>
        <w:t>receive</w:t>
      </w:r>
      <w:r>
        <w:rPr>
          <w:rFonts w:asciiTheme="minorHAnsi" w:hAnsiTheme="minorHAnsi" w:cstheme="minorHAnsi"/>
          <w:sz w:val="24"/>
          <w:szCs w:val="24"/>
        </w:rPr>
        <w:t xml:space="preserve"> differing compensation  with respect to different advisory and brokerage relationships with the Firm, AC, and our AC </w:t>
      </w:r>
      <w:r w:rsidR="00BB4AA5">
        <w:rPr>
          <w:rFonts w:asciiTheme="minorHAnsi" w:hAnsiTheme="minorHAnsi" w:cstheme="minorHAnsi"/>
          <w:sz w:val="24"/>
          <w:szCs w:val="24"/>
        </w:rPr>
        <w:t xml:space="preserve">Representative have incentives to maximize their respective compensation which creates a conflict of interest.  AC addresses this conflict of intertest by disclosing it to its clients and supervising your AC’s Representative’s </w:t>
      </w:r>
      <w:r w:rsidR="006E69C6">
        <w:rPr>
          <w:rFonts w:asciiTheme="minorHAnsi" w:hAnsiTheme="minorHAnsi" w:cstheme="minorHAnsi"/>
          <w:sz w:val="24"/>
          <w:szCs w:val="24"/>
        </w:rPr>
        <w:t>recommendations</w:t>
      </w:r>
      <w:r w:rsidR="00BB4AA5">
        <w:rPr>
          <w:rFonts w:asciiTheme="minorHAnsi" w:hAnsiTheme="minorHAnsi" w:cstheme="minorHAnsi"/>
          <w:sz w:val="24"/>
          <w:szCs w:val="24"/>
        </w:rPr>
        <w:t xml:space="preserve"> with respect to brokerage or investment advisory relationships. </w:t>
      </w:r>
    </w:p>
    <w:p w14:paraId="5DC0DF99" w14:textId="4B4EEAB7" w:rsidR="00896151" w:rsidRDefault="00896151" w:rsidP="00BD41FD">
      <w:pPr>
        <w:pStyle w:val="BodyText"/>
        <w:kinsoku w:val="0"/>
        <w:overflowPunct w:val="0"/>
        <w:ind w:right="2"/>
        <w:rPr>
          <w:rFonts w:asciiTheme="minorHAnsi" w:hAnsiTheme="minorHAnsi" w:cstheme="minorHAnsi"/>
          <w:sz w:val="24"/>
          <w:szCs w:val="24"/>
        </w:rPr>
      </w:pPr>
    </w:p>
    <w:p w14:paraId="2D8F4B2B" w14:textId="1A4663F2" w:rsidR="00896151" w:rsidRPr="00630569" w:rsidRDefault="00896151" w:rsidP="00896151">
      <w:pPr>
        <w:pStyle w:val="BodyText"/>
        <w:numPr>
          <w:ilvl w:val="0"/>
          <w:numId w:val="32"/>
        </w:numPr>
        <w:kinsoku w:val="0"/>
        <w:overflowPunct w:val="0"/>
        <w:ind w:right="2"/>
        <w:rPr>
          <w:rFonts w:asciiTheme="minorHAnsi" w:hAnsiTheme="minorHAnsi" w:cstheme="minorHAnsi"/>
          <w:b/>
          <w:bCs/>
          <w:sz w:val="24"/>
          <w:szCs w:val="24"/>
        </w:rPr>
      </w:pPr>
      <w:r w:rsidRPr="00630569">
        <w:rPr>
          <w:rFonts w:asciiTheme="minorHAnsi" w:hAnsiTheme="minorHAnsi" w:cstheme="minorHAnsi"/>
          <w:b/>
          <w:bCs/>
          <w:sz w:val="24"/>
          <w:szCs w:val="24"/>
        </w:rPr>
        <w:t>Affiliated Trading</w:t>
      </w:r>
    </w:p>
    <w:p w14:paraId="1974F92F" w14:textId="2F41DEFE" w:rsidR="00896151" w:rsidRPr="00315F7D" w:rsidRDefault="00E60B71" w:rsidP="008F234E">
      <w:pPr>
        <w:pStyle w:val="BodyText"/>
        <w:kinsoku w:val="0"/>
        <w:overflowPunct w:val="0"/>
        <w:ind w:right="2"/>
        <w:rPr>
          <w:rFonts w:asciiTheme="minorHAnsi" w:hAnsiTheme="minorHAnsi" w:cstheme="minorHAnsi"/>
          <w:sz w:val="24"/>
          <w:szCs w:val="24"/>
        </w:rPr>
      </w:pPr>
      <w:proofErr w:type="spellStart"/>
      <w:r>
        <w:rPr>
          <w:rFonts w:asciiTheme="minorHAnsi" w:hAnsiTheme="minorHAnsi" w:cstheme="minorHAnsi"/>
          <w:sz w:val="24"/>
          <w:szCs w:val="24"/>
        </w:rPr>
        <w:t>Ar</w:t>
      </w:r>
      <w:r w:rsidR="00B51816">
        <w:rPr>
          <w:rFonts w:asciiTheme="minorHAnsi" w:hAnsiTheme="minorHAnsi" w:cstheme="minorHAnsi"/>
          <w:sz w:val="24"/>
          <w:szCs w:val="24"/>
        </w:rPr>
        <w:t>ka</w:t>
      </w:r>
      <w:r>
        <w:rPr>
          <w:rFonts w:asciiTheme="minorHAnsi" w:hAnsiTheme="minorHAnsi" w:cstheme="minorHAnsi"/>
          <w:sz w:val="24"/>
          <w:szCs w:val="24"/>
        </w:rPr>
        <w:t>dios</w:t>
      </w:r>
      <w:proofErr w:type="spellEnd"/>
      <w:r>
        <w:rPr>
          <w:rFonts w:asciiTheme="minorHAnsi" w:hAnsiTheme="minorHAnsi" w:cstheme="minorHAnsi"/>
          <w:sz w:val="24"/>
          <w:szCs w:val="24"/>
        </w:rPr>
        <w:t xml:space="preserve"> Capital provides </w:t>
      </w:r>
      <w:r w:rsidR="006A6E6F">
        <w:rPr>
          <w:rFonts w:asciiTheme="minorHAnsi" w:hAnsiTheme="minorHAnsi" w:cstheme="minorHAnsi"/>
          <w:sz w:val="24"/>
          <w:szCs w:val="24"/>
        </w:rPr>
        <w:t xml:space="preserve">fixed income trading and support to its affiliated advisory firm, </w:t>
      </w:r>
      <w:proofErr w:type="spellStart"/>
      <w:r w:rsidR="006A6E6F">
        <w:rPr>
          <w:rFonts w:asciiTheme="minorHAnsi" w:hAnsiTheme="minorHAnsi" w:cstheme="minorHAnsi"/>
          <w:sz w:val="24"/>
          <w:szCs w:val="24"/>
        </w:rPr>
        <w:t>Arkadios</w:t>
      </w:r>
      <w:proofErr w:type="spellEnd"/>
      <w:r w:rsidR="006A6E6F">
        <w:rPr>
          <w:rFonts w:asciiTheme="minorHAnsi" w:hAnsiTheme="minorHAnsi" w:cstheme="minorHAnsi"/>
          <w:sz w:val="24"/>
          <w:szCs w:val="24"/>
        </w:rPr>
        <w:t xml:space="preserve"> Wealth Advisors.  AC receives fixed income trades from an investment </w:t>
      </w:r>
      <w:r w:rsidR="00630569">
        <w:rPr>
          <w:rFonts w:asciiTheme="minorHAnsi" w:hAnsiTheme="minorHAnsi" w:cstheme="minorHAnsi"/>
          <w:sz w:val="24"/>
          <w:szCs w:val="24"/>
        </w:rPr>
        <w:t>advisor</w:t>
      </w:r>
      <w:r w:rsidR="006A6E6F">
        <w:rPr>
          <w:rFonts w:asciiTheme="minorHAnsi" w:hAnsiTheme="minorHAnsi" w:cstheme="minorHAnsi"/>
          <w:sz w:val="24"/>
          <w:szCs w:val="24"/>
        </w:rPr>
        <w:t xml:space="preserve"> in which a </w:t>
      </w:r>
      <w:r w:rsidR="00274FE7">
        <w:rPr>
          <w:rFonts w:asciiTheme="minorHAnsi" w:hAnsiTheme="minorHAnsi" w:cstheme="minorHAnsi"/>
          <w:sz w:val="24"/>
          <w:szCs w:val="24"/>
        </w:rPr>
        <w:t xml:space="preserve">principal trade will be done in an advisory account.  </w:t>
      </w:r>
      <w:r w:rsidR="00D50429">
        <w:rPr>
          <w:rFonts w:asciiTheme="minorHAnsi" w:hAnsiTheme="minorHAnsi" w:cstheme="minorHAnsi"/>
          <w:sz w:val="24"/>
          <w:szCs w:val="24"/>
        </w:rPr>
        <w:t xml:space="preserve">Due to the relationship between AC and its affiliated advisory firm, </w:t>
      </w:r>
      <w:r w:rsidR="00F233F0">
        <w:rPr>
          <w:rFonts w:asciiTheme="minorHAnsi" w:hAnsiTheme="minorHAnsi" w:cstheme="minorHAnsi"/>
          <w:sz w:val="24"/>
          <w:szCs w:val="24"/>
        </w:rPr>
        <w:t xml:space="preserve">this creates a conflict of interest as </w:t>
      </w:r>
      <w:r w:rsidR="00D50429">
        <w:rPr>
          <w:rFonts w:asciiTheme="minorHAnsi" w:hAnsiTheme="minorHAnsi" w:cstheme="minorHAnsi"/>
          <w:sz w:val="24"/>
          <w:szCs w:val="24"/>
        </w:rPr>
        <w:t xml:space="preserve">AC may receive additional compensation </w:t>
      </w:r>
      <w:r w:rsidR="00026FA7">
        <w:rPr>
          <w:rFonts w:asciiTheme="minorHAnsi" w:hAnsiTheme="minorHAnsi" w:cstheme="minorHAnsi"/>
          <w:sz w:val="24"/>
          <w:szCs w:val="24"/>
        </w:rPr>
        <w:t xml:space="preserve">for </w:t>
      </w:r>
      <w:proofErr w:type="gramStart"/>
      <w:r w:rsidR="00026FA7">
        <w:rPr>
          <w:rFonts w:asciiTheme="minorHAnsi" w:hAnsiTheme="minorHAnsi" w:cstheme="minorHAnsi"/>
          <w:sz w:val="24"/>
          <w:szCs w:val="24"/>
        </w:rPr>
        <w:t>executing</w:t>
      </w:r>
      <w:proofErr w:type="gramEnd"/>
      <w:r w:rsidR="00026FA7">
        <w:rPr>
          <w:rFonts w:asciiTheme="minorHAnsi" w:hAnsiTheme="minorHAnsi" w:cstheme="minorHAnsi"/>
          <w:sz w:val="24"/>
          <w:szCs w:val="24"/>
        </w:rPr>
        <w:t xml:space="preserve"> the trade in an advisory account.  Due to this conflict of interest, we will mitigate this conflict by disclosing this conflict to our clients and </w:t>
      </w:r>
      <w:r w:rsidR="006E69C6">
        <w:rPr>
          <w:rFonts w:asciiTheme="minorHAnsi" w:hAnsiTheme="minorHAnsi" w:cstheme="minorHAnsi"/>
          <w:sz w:val="24"/>
          <w:szCs w:val="24"/>
        </w:rPr>
        <w:t>supervising</w:t>
      </w:r>
      <w:r w:rsidR="00026FA7">
        <w:rPr>
          <w:rFonts w:asciiTheme="minorHAnsi" w:hAnsiTheme="minorHAnsi" w:cstheme="minorHAnsi"/>
          <w:sz w:val="24"/>
          <w:szCs w:val="24"/>
        </w:rPr>
        <w:t xml:space="preserve"> the recommendations and trading by our AC Account Representative and </w:t>
      </w:r>
      <w:r w:rsidR="00630569">
        <w:rPr>
          <w:rFonts w:asciiTheme="minorHAnsi" w:hAnsiTheme="minorHAnsi" w:cstheme="minorHAnsi"/>
          <w:sz w:val="24"/>
          <w:szCs w:val="24"/>
        </w:rPr>
        <w:t xml:space="preserve">AWA Wealth Investment Advisor. </w:t>
      </w:r>
    </w:p>
    <w:p w14:paraId="66A6D8C5" w14:textId="2280B5B8" w:rsidR="00BD41FD" w:rsidRPr="00D06C5A" w:rsidRDefault="00BD41FD" w:rsidP="00BD41FD">
      <w:pPr>
        <w:pStyle w:val="Heading1"/>
        <w:kinsoku w:val="0"/>
        <w:overflowPunct w:val="0"/>
        <w:ind w:left="0"/>
        <w:rPr>
          <w:rFonts w:asciiTheme="minorHAnsi" w:hAnsiTheme="minorHAnsi" w:cstheme="minorHAnsi"/>
        </w:rPr>
      </w:pPr>
    </w:p>
    <w:p w14:paraId="5B5CC141" w14:textId="4A6869AA" w:rsidR="00484212" w:rsidRPr="00D06C5A" w:rsidRDefault="0071659C" w:rsidP="00AB175B">
      <w:pPr>
        <w:pStyle w:val="Heading1"/>
        <w:numPr>
          <w:ilvl w:val="0"/>
          <w:numId w:val="32"/>
        </w:numPr>
        <w:kinsoku w:val="0"/>
        <w:overflowPunct w:val="0"/>
        <w:rPr>
          <w:rFonts w:asciiTheme="minorHAnsi" w:hAnsiTheme="minorHAnsi" w:cstheme="minorHAnsi"/>
          <w:u w:val="none"/>
        </w:rPr>
      </w:pPr>
      <w:r w:rsidRPr="00D06C5A">
        <w:rPr>
          <w:rFonts w:asciiTheme="minorHAnsi" w:hAnsiTheme="minorHAnsi" w:cstheme="minorHAnsi"/>
          <w:u w:val="none"/>
        </w:rPr>
        <w:t>Transactions in Your Account</w:t>
      </w:r>
    </w:p>
    <w:p w14:paraId="2728E14C" w14:textId="642D3C17" w:rsidR="00874605" w:rsidRPr="00F436F9" w:rsidRDefault="0071659C" w:rsidP="0071659C">
      <w:pPr>
        <w:pStyle w:val="Heading1"/>
        <w:kinsoku w:val="0"/>
        <w:overflowPunct w:val="0"/>
        <w:ind w:left="0"/>
        <w:rPr>
          <w:rFonts w:asciiTheme="minorHAnsi" w:hAnsiTheme="minorHAnsi" w:cstheme="minorHAnsi"/>
          <w:b w:val="0"/>
          <w:bCs w:val="0"/>
          <w:u w:val="none"/>
        </w:rPr>
      </w:pPr>
      <w:r>
        <w:rPr>
          <w:rFonts w:asciiTheme="minorHAnsi" w:hAnsiTheme="minorHAnsi" w:cstheme="minorHAnsi"/>
          <w:b w:val="0"/>
          <w:bCs w:val="0"/>
          <w:u w:val="none"/>
        </w:rPr>
        <w:t>The recommendation provided to you by your AC Representative can differ from the advice or the timing or nature of action recommended by or taken by other individuals or groups at the Firm and/or its affiliates, whether acting as principal or agent.  The Firm</w:t>
      </w:r>
      <w:r w:rsidR="00D06C5A">
        <w:rPr>
          <w:rFonts w:asciiTheme="minorHAnsi" w:hAnsiTheme="minorHAnsi" w:cstheme="minorHAnsi"/>
          <w:b w:val="0"/>
          <w:bCs w:val="0"/>
          <w:u w:val="none"/>
        </w:rPr>
        <w:t xml:space="preserve"> and/or affiliate</w:t>
      </w:r>
      <w:r>
        <w:rPr>
          <w:rFonts w:asciiTheme="minorHAnsi" w:hAnsiTheme="minorHAnsi" w:cstheme="minorHAnsi"/>
          <w:b w:val="0"/>
          <w:bCs w:val="0"/>
          <w:u w:val="none"/>
        </w:rPr>
        <w:t xml:space="preserve"> provide</w:t>
      </w:r>
      <w:r w:rsidR="00D06C5A">
        <w:rPr>
          <w:rFonts w:asciiTheme="minorHAnsi" w:hAnsiTheme="minorHAnsi" w:cstheme="minorHAnsi"/>
          <w:b w:val="0"/>
          <w:bCs w:val="0"/>
          <w:u w:val="none"/>
        </w:rPr>
        <w:t xml:space="preserve"> investment</w:t>
      </w:r>
      <w:r w:rsidR="009B7735">
        <w:rPr>
          <w:rFonts w:asciiTheme="minorHAnsi" w:hAnsiTheme="minorHAnsi" w:cstheme="minorHAnsi"/>
          <w:b w:val="0"/>
          <w:bCs w:val="0"/>
          <w:u w:val="none"/>
        </w:rPr>
        <w:t xml:space="preserve"> advice, </w:t>
      </w:r>
      <w:r w:rsidR="00276891">
        <w:rPr>
          <w:rFonts w:asciiTheme="minorHAnsi" w:hAnsiTheme="minorHAnsi" w:cstheme="minorHAnsi"/>
          <w:b w:val="0"/>
          <w:bCs w:val="0"/>
          <w:u w:val="none"/>
        </w:rPr>
        <w:t xml:space="preserve">and execution services for many clients and can but need not, in certain markets, act as principal.  Given these different roles, individuals and groups at the </w:t>
      </w:r>
      <w:r w:rsidR="00D06C5A">
        <w:rPr>
          <w:rFonts w:asciiTheme="minorHAnsi" w:hAnsiTheme="minorHAnsi" w:cstheme="minorHAnsi"/>
          <w:b w:val="0"/>
          <w:bCs w:val="0"/>
          <w:u w:val="none"/>
        </w:rPr>
        <w:t>Firm</w:t>
      </w:r>
      <w:r w:rsidR="00276891">
        <w:rPr>
          <w:rFonts w:asciiTheme="minorHAnsi" w:hAnsiTheme="minorHAnsi" w:cstheme="minorHAnsi"/>
          <w:b w:val="0"/>
          <w:bCs w:val="0"/>
          <w:u w:val="none"/>
        </w:rPr>
        <w:t xml:space="preserve"> and its </w:t>
      </w:r>
      <w:r w:rsidR="00D06C5A">
        <w:rPr>
          <w:rFonts w:asciiTheme="minorHAnsi" w:hAnsiTheme="minorHAnsi" w:cstheme="minorHAnsi"/>
          <w:b w:val="0"/>
          <w:bCs w:val="0"/>
          <w:u w:val="none"/>
        </w:rPr>
        <w:t>affiliates</w:t>
      </w:r>
      <w:r w:rsidR="00276891">
        <w:rPr>
          <w:rFonts w:asciiTheme="minorHAnsi" w:hAnsiTheme="minorHAnsi" w:cstheme="minorHAnsi"/>
          <w:b w:val="0"/>
          <w:bCs w:val="0"/>
          <w:u w:val="none"/>
        </w:rPr>
        <w:t xml:space="preserve"> are seldom of one view as to an investment strategy</w:t>
      </w:r>
      <w:r w:rsidR="00A5577F">
        <w:rPr>
          <w:rFonts w:asciiTheme="minorHAnsi" w:hAnsiTheme="minorHAnsi" w:cstheme="minorHAnsi"/>
          <w:b w:val="0"/>
          <w:bCs w:val="0"/>
          <w:u w:val="none"/>
        </w:rPr>
        <w:t xml:space="preserve"> and will often pursue differing or conflicting strategies.  The Firm and its affiliates perform services for or solicit business from issuers whose securities are </w:t>
      </w:r>
      <w:r w:rsidR="00D06C5A">
        <w:rPr>
          <w:rFonts w:asciiTheme="minorHAnsi" w:hAnsiTheme="minorHAnsi" w:cstheme="minorHAnsi"/>
          <w:b w:val="0"/>
          <w:bCs w:val="0"/>
          <w:u w:val="none"/>
        </w:rPr>
        <w:t>recommended</w:t>
      </w:r>
      <w:r w:rsidR="00A5577F">
        <w:rPr>
          <w:rFonts w:asciiTheme="minorHAnsi" w:hAnsiTheme="minorHAnsi" w:cstheme="minorHAnsi"/>
          <w:b w:val="0"/>
          <w:bCs w:val="0"/>
          <w:u w:val="none"/>
        </w:rPr>
        <w:t xml:space="preserve"> by AC </w:t>
      </w:r>
      <w:r w:rsidR="00D06C5A">
        <w:rPr>
          <w:rFonts w:asciiTheme="minorHAnsi" w:hAnsiTheme="minorHAnsi" w:cstheme="minorHAnsi"/>
          <w:b w:val="0"/>
          <w:bCs w:val="0"/>
          <w:u w:val="none"/>
        </w:rPr>
        <w:t>Representatives</w:t>
      </w:r>
      <w:r w:rsidR="00A5577F">
        <w:rPr>
          <w:rFonts w:asciiTheme="minorHAnsi" w:hAnsiTheme="minorHAnsi" w:cstheme="minorHAnsi"/>
          <w:b w:val="0"/>
          <w:bCs w:val="0"/>
          <w:u w:val="none"/>
        </w:rPr>
        <w:t>.  The Firm</w:t>
      </w:r>
      <w:r w:rsidR="00341B50">
        <w:rPr>
          <w:rFonts w:asciiTheme="minorHAnsi" w:hAnsiTheme="minorHAnsi" w:cstheme="minorHAnsi"/>
          <w:b w:val="0"/>
          <w:bCs w:val="0"/>
          <w:u w:val="none"/>
        </w:rPr>
        <w:t xml:space="preserve"> </w:t>
      </w:r>
      <w:r w:rsidR="00A5577F">
        <w:rPr>
          <w:rFonts w:asciiTheme="minorHAnsi" w:hAnsiTheme="minorHAnsi" w:cstheme="minorHAnsi"/>
          <w:b w:val="0"/>
          <w:bCs w:val="0"/>
          <w:u w:val="none"/>
        </w:rPr>
        <w:t xml:space="preserve">and its affiliates are paid fees by </w:t>
      </w:r>
      <w:r w:rsidR="00D06C5A">
        <w:rPr>
          <w:rFonts w:asciiTheme="minorHAnsi" w:hAnsiTheme="minorHAnsi" w:cstheme="minorHAnsi"/>
          <w:b w:val="0"/>
          <w:bCs w:val="0"/>
          <w:u w:val="none"/>
        </w:rPr>
        <w:t>registered</w:t>
      </w:r>
      <w:r w:rsidR="00A5577F">
        <w:rPr>
          <w:rFonts w:asciiTheme="minorHAnsi" w:hAnsiTheme="minorHAnsi" w:cstheme="minorHAnsi"/>
          <w:b w:val="0"/>
          <w:bCs w:val="0"/>
          <w:u w:val="none"/>
        </w:rPr>
        <w:t xml:space="preserve"> investment companies or other investment </w:t>
      </w:r>
      <w:r w:rsidR="00D06C5A">
        <w:rPr>
          <w:rFonts w:asciiTheme="minorHAnsi" w:hAnsiTheme="minorHAnsi" w:cstheme="minorHAnsi"/>
          <w:b w:val="0"/>
          <w:bCs w:val="0"/>
          <w:u w:val="none"/>
        </w:rPr>
        <w:t>vehicles</w:t>
      </w:r>
      <w:r w:rsidR="00AB4047">
        <w:rPr>
          <w:rFonts w:asciiTheme="minorHAnsi" w:hAnsiTheme="minorHAnsi" w:cstheme="minorHAnsi"/>
          <w:b w:val="0"/>
          <w:bCs w:val="0"/>
          <w:u w:val="none"/>
        </w:rPr>
        <w:t xml:space="preserve">, including without limitation, fees for acting as an investment advisor, </w:t>
      </w:r>
      <w:r w:rsidR="00D06C5A">
        <w:rPr>
          <w:rFonts w:asciiTheme="minorHAnsi" w:hAnsiTheme="minorHAnsi" w:cstheme="minorHAnsi"/>
          <w:b w:val="0"/>
          <w:bCs w:val="0"/>
          <w:u w:val="none"/>
        </w:rPr>
        <w:t>administrator</w:t>
      </w:r>
      <w:r w:rsidR="00AB4047">
        <w:rPr>
          <w:rFonts w:asciiTheme="minorHAnsi" w:hAnsiTheme="minorHAnsi" w:cstheme="minorHAnsi"/>
          <w:b w:val="0"/>
          <w:bCs w:val="0"/>
          <w:u w:val="none"/>
        </w:rPr>
        <w:t xml:space="preserve">, </w:t>
      </w:r>
      <w:proofErr w:type="gramStart"/>
      <w:r w:rsidR="00AB4047">
        <w:rPr>
          <w:rFonts w:asciiTheme="minorHAnsi" w:hAnsiTheme="minorHAnsi" w:cstheme="minorHAnsi"/>
          <w:b w:val="0"/>
          <w:bCs w:val="0"/>
          <w:u w:val="none"/>
        </w:rPr>
        <w:t>custodian</w:t>
      </w:r>
      <w:proofErr w:type="gramEnd"/>
      <w:r w:rsidR="00AB4047">
        <w:rPr>
          <w:rFonts w:asciiTheme="minorHAnsi" w:hAnsiTheme="minorHAnsi" w:cstheme="minorHAnsi"/>
          <w:b w:val="0"/>
          <w:bCs w:val="0"/>
          <w:u w:val="none"/>
        </w:rPr>
        <w:t xml:space="preserve"> and transfer agent.</w:t>
      </w:r>
      <w:r w:rsidR="004972BE">
        <w:rPr>
          <w:rFonts w:asciiTheme="minorHAnsi" w:hAnsiTheme="minorHAnsi" w:cstheme="minorHAnsi"/>
          <w:b w:val="0"/>
          <w:bCs w:val="0"/>
          <w:u w:val="none"/>
        </w:rPr>
        <w:t xml:space="preserve"> The Firm and its </w:t>
      </w:r>
      <w:r w:rsidR="00D06C5A">
        <w:rPr>
          <w:rFonts w:asciiTheme="minorHAnsi" w:hAnsiTheme="minorHAnsi" w:cstheme="minorHAnsi"/>
          <w:b w:val="0"/>
          <w:bCs w:val="0"/>
          <w:u w:val="none"/>
        </w:rPr>
        <w:t>affiliates</w:t>
      </w:r>
      <w:r w:rsidR="004972BE">
        <w:rPr>
          <w:rFonts w:asciiTheme="minorHAnsi" w:hAnsiTheme="minorHAnsi" w:cstheme="minorHAnsi"/>
          <w:b w:val="0"/>
          <w:bCs w:val="0"/>
          <w:u w:val="none"/>
        </w:rPr>
        <w:t xml:space="preserve"> also act as brokers and principals</w:t>
      </w:r>
      <w:r w:rsidR="00D06C5A">
        <w:rPr>
          <w:rFonts w:asciiTheme="minorHAnsi" w:hAnsiTheme="minorHAnsi" w:cstheme="minorHAnsi"/>
          <w:b w:val="0"/>
          <w:bCs w:val="0"/>
          <w:u w:val="none"/>
        </w:rPr>
        <w:t xml:space="preserve"> </w:t>
      </w:r>
      <w:r w:rsidR="004972BE">
        <w:rPr>
          <w:rFonts w:asciiTheme="minorHAnsi" w:hAnsiTheme="minorHAnsi" w:cstheme="minorHAnsi"/>
          <w:b w:val="0"/>
          <w:bCs w:val="0"/>
          <w:u w:val="none"/>
        </w:rPr>
        <w:t xml:space="preserve">in certain markets and can do so in transactions with you.  Because the Firm would receive compensation from each </w:t>
      </w:r>
      <w:r w:rsidR="00D06C5A">
        <w:rPr>
          <w:rFonts w:asciiTheme="minorHAnsi" w:hAnsiTheme="minorHAnsi" w:cstheme="minorHAnsi"/>
          <w:b w:val="0"/>
          <w:bCs w:val="0"/>
          <w:u w:val="none"/>
        </w:rPr>
        <w:t>transaction</w:t>
      </w:r>
      <w:r w:rsidR="004972BE">
        <w:rPr>
          <w:rFonts w:asciiTheme="minorHAnsi" w:hAnsiTheme="minorHAnsi" w:cstheme="minorHAnsi"/>
          <w:b w:val="0"/>
          <w:bCs w:val="0"/>
          <w:u w:val="none"/>
        </w:rPr>
        <w:t xml:space="preserve"> described in this section, there is a conflict of interest.  </w:t>
      </w:r>
      <w:r w:rsidR="006E69C6">
        <w:rPr>
          <w:rFonts w:asciiTheme="minorHAnsi" w:hAnsiTheme="minorHAnsi" w:cstheme="minorHAnsi"/>
          <w:b w:val="0"/>
          <w:bCs w:val="0"/>
          <w:u w:val="none"/>
        </w:rPr>
        <w:t>To</w:t>
      </w:r>
      <w:r w:rsidR="004972BE">
        <w:rPr>
          <w:rFonts w:asciiTheme="minorHAnsi" w:hAnsiTheme="minorHAnsi" w:cstheme="minorHAnsi"/>
          <w:b w:val="0"/>
          <w:bCs w:val="0"/>
          <w:u w:val="none"/>
        </w:rPr>
        <w:t xml:space="preserve"> </w:t>
      </w:r>
      <w:r w:rsidR="00D06C5A">
        <w:rPr>
          <w:rFonts w:asciiTheme="minorHAnsi" w:hAnsiTheme="minorHAnsi" w:cstheme="minorHAnsi"/>
          <w:b w:val="0"/>
          <w:bCs w:val="0"/>
          <w:u w:val="none"/>
        </w:rPr>
        <w:t>minimize</w:t>
      </w:r>
      <w:r w:rsidR="004972BE">
        <w:rPr>
          <w:rFonts w:asciiTheme="minorHAnsi" w:hAnsiTheme="minorHAnsi" w:cstheme="minorHAnsi"/>
          <w:b w:val="0"/>
          <w:bCs w:val="0"/>
          <w:u w:val="none"/>
        </w:rPr>
        <w:t xml:space="preserve">/alleviate the conflict, we disclose this conflict </w:t>
      </w:r>
      <w:r w:rsidR="00D06C5A">
        <w:rPr>
          <w:rFonts w:asciiTheme="minorHAnsi" w:hAnsiTheme="minorHAnsi" w:cstheme="minorHAnsi"/>
          <w:b w:val="0"/>
          <w:bCs w:val="0"/>
          <w:u w:val="none"/>
        </w:rPr>
        <w:t xml:space="preserve">of interest </w:t>
      </w:r>
      <w:r w:rsidR="00D06C5A" w:rsidRPr="00F436F9">
        <w:rPr>
          <w:rFonts w:asciiTheme="minorHAnsi" w:hAnsiTheme="minorHAnsi" w:cstheme="minorHAnsi"/>
          <w:b w:val="0"/>
          <w:bCs w:val="0"/>
          <w:u w:val="none"/>
        </w:rPr>
        <w:t>to you and supervise the recommendations of your AC Account Representative</w:t>
      </w:r>
      <w:r w:rsidR="00896151" w:rsidRPr="00F436F9">
        <w:rPr>
          <w:rFonts w:asciiTheme="minorHAnsi" w:hAnsiTheme="minorHAnsi" w:cstheme="minorHAnsi"/>
          <w:b w:val="0"/>
          <w:bCs w:val="0"/>
          <w:u w:val="none"/>
        </w:rPr>
        <w:t>.</w:t>
      </w:r>
      <w:r w:rsidR="00D06C5A" w:rsidRPr="00F436F9">
        <w:rPr>
          <w:rFonts w:asciiTheme="minorHAnsi" w:hAnsiTheme="minorHAnsi" w:cstheme="minorHAnsi"/>
          <w:b w:val="0"/>
          <w:bCs w:val="0"/>
          <w:u w:val="none"/>
        </w:rPr>
        <w:t xml:space="preserve"> </w:t>
      </w:r>
    </w:p>
    <w:p w14:paraId="0DC66599" w14:textId="0F345788" w:rsidR="00322447" w:rsidRPr="00F436F9" w:rsidRDefault="00322447" w:rsidP="0071659C">
      <w:pPr>
        <w:pStyle w:val="Heading1"/>
        <w:kinsoku w:val="0"/>
        <w:overflowPunct w:val="0"/>
        <w:ind w:left="0"/>
        <w:rPr>
          <w:rFonts w:asciiTheme="minorHAnsi" w:hAnsiTheme="minorHAnsi" w:cstheme="minorHAnsi"/>
          <w:b w:val="0"/>
          <w:bCs w:val="0"/>
          <w:u w:val="none"/>
        </w:rPr>
      </w:pPr>
    </w:p>
    <w:p w14:paraId="2FF439D6" w14:textId="77777777" w:rsidR="008311E3" w:rsidRPr="00F436F9" w:rsidRDefault="00701CBD" w:rsidP="00701CBD">
      <w:pPr>
        <w:pStyle w:val="Heading1"/>
        <w:numPr>
          <w:ilvl w:val="0"/>
          <w:numId w:val="32"/>
        </w:numPr>
        <w:kinsoku w:val="0"/>
        <w:overflowPunct w:val="0"/>
        <w:rPr>
          <w:rFonts w:asciiTheme="minorHAnsi" w:hAnsiTheme="minorHAnsi" w:cstheme="minorHAnsi"/>
          <w:u w:val="none"/>
        </w:rPr>
      </w:pPr>
      <w:r w:rsidRPr="00F436F9">
        <w:rPr>
          <w:rFonts w:asciiTheme="minorHAnsi" w:hAnsiTheme="minorHAnsi" w:cstheme="minorHAnsi"/>
          <w:u w:val="none"/>
        </w:rPr>
        <w:t>Financial Advisor</w:t>
      </w:r>
      <w:r w:rsidR="008311E3" w:rsidRPr="00F436F9">
        <w:rPr>
          <w:rFonts w:asciiTheme="minorHAnsi" w:hAnsiTheme="minorHAnsi" w:cstheme="minorHAnsi"/>
          <w:u w:val="none"/>
        </w:rPr>
        <w:t xml:space="preserve"> Education and Training</w:t>
      </w:r>
    </w:p>
    <w:p w14:paraId="660EB1AE" w14:textId="1446E45D" w:rsidR="00322447" w:rsidRPr="00F436F9" w:rsidRDefault="008311E3" w:rsidP="008311E3">
      <w:pPr>
        <w:pStyle w:val="Heading1"/>
        <w:kinsoku w:val="0"/>
        <w:overflowPunct w:val="0"/>
        <w:ind w:left="0"/>
        <w:rPr>
          <w:rFonts w:asciiTheme="minorHAnsi" w:hAnsiTheme="minorHAnsi" w:cstheme="minorHAnsi"/>
          <w:b w:val="0"/>
          <w:bCs w:val="0"/>
          <w:u w:val="none"/>
        </w:rPr>
      </w:pPr>
      <w:r w:rsidRPr="00F436F9">
        <w:rPr>
          <w:rFonts w:asciiTheme="minorHAnsi" w:hAnsiTheme="minorHAnsi" w:cstheme="minorHAnsi"/>
          <w:b w:val="0"/>
          <w:bCs w:val="0"/>
          <w:u w:val="none"/>
        </w:rPr>
        <w:t xml:space="preserve">The Firm may receive voluntary monies from several different partner firms that are used for the general education and training of your Account Representative.  The participation by partner firms </w:t>
      </w:r>
      <w:proofErr w:type="gramStart"/>
      <w:r w:rsidRPr="00F436F9">
        <w:rPr>
          <w:rFonts w:asciiTheme="minorHAnsi" w:hAnsiTheme="minorHAnsi" w:cstheme="minorHAnsi"/>
          <w:b w:val="0"/>
          <w:bCs w:val="0"/>
          <w:u w:val="none"/>
        </w:rPr>
        <w:t>n these</w:t>
      </w:r>
      <w:proofErr w:type="gramEnd"/>
      <w:r w:rsidRPr="00F436F9">
        <w:rPr>
          <w:rFonts w:asciiTheme="minorHAnsi" w:hAnsiTheme="minorHAnsi" w:cstheme="minorHAnsi"/>
          <w:b w:val="0"/>
          <w:bCs w:val="0"/>
          <w:u w:val="none"/>
        </w:rPr>
        <w:t xml:space="preserve"> educational settings is voluntary and does not constitute an agreement with us to favor the product and services of the participating partner firms. AC may use these funds to host conferences in which the partner firms may participate at the conference in education and training sessions.  </w:t>
      </w:r>
    </w:p>
    <w:p w14:paraId="7EB37263" w14:textId="1EB66A9A" w:rsidR="008311E3" w:rsidRPr="00F436F9" w:rsidRDefault="008311E3" w:rsidP="008311E3">
      <w:pPr>
        <w:pStyle w:val="Heading1"/>
        <w:kinsoku w:val="0"/>
        <w:overflowPunct w:val="0"/>
        <w:ind w:left="0"/>
        <w:rPr>
          <w:rFonts w:asciiTheme="minorHAnsi" w:hAnsiTheme="minorHAnsi" w:cstheme="minorHAnsi"/>
          <w:b w:val="0"/>
          <w:bCs w:val="0"/>
          <w:u w:val="none"/>
        </w:rPr>
      </w:pPr>
    </w:p>
    <w:p w14:paraId="57245C4D" w14:textId="2EF226FD" w:rsidR="008311E3" w:rsidRPr="00F436F9" w:rsidRDefault="008311E3" w:rsidP="008311E3">
      <w:pPr>
        <w:pStyle w:val="Heading1"/>
        <w:kinsoku w:val="0"/>
        <w:overflowPunct w:val="0"/>
        <w:ind w:left="0"/>
        <w:rPr>
          <w:rFonts w:asciiTheme="minorHAnsi" w:hAnsiTheme="minorHAnsi" w:cstheme="minorHAnsi"/>
          <w:b w:val="0"/>
          <w:bCs w:val="0"/>
          <w:u w:val="none"/>
        </w:rPr>
      </w:pPr>
      <w:r w:rsidRPr="00F436F9">
        <w:rPr>
          <w:rFonts w:asciiTheme="minorHAnsi" w:hAnsiTheme="minorHAnsi" w:cstheme="minorHAnsi"/>
          <w:b w:val="0"/>
          <w:bCs w:val="0"/>
          <w:u w:val="none"/>
        </w:rPr>
        <w:t xml:space="preserve">Our receipt of these additional monies creates a conflict of interest.  </w:t>
      </w:r>
      <w:r w:rsidR="006E69C6" w:rsidRPr="00F436F9">
        <w:rPr>
          <w:rFonts w:asciiTheme="minorHAnsi" w:hAnsiTheme="minorHAnsi" w:cstheme="minorHAnsi"/>
          <w:b w:val="0"/>
          <w:bCs w:val="0"/>
          <w:u w:val="none"/>
        </w:rPr>
        <w:t>To</w:t>
      </w:r>
      <w:r w:rsidRPr="00F436F9">
        <w:rPr>
          <w:rFonts w:asciiTheme="minorHAnsi" w:hAnsiTheme="minorHAnsi" w:cstheme="minorHAnsi"/>
          <w:b w:val="0"/>
          <w:bCs w:val="0"/>
          <w:u w:val="none"/>
        </w:rPr>
        <w:t xml:space="preserve"> minimize/alleviate this conflict of interest, we are disclosing this conflict of interest to you</w:t>
      </w:r>
      <w:r w:rsidR="00373225">
        <w:rPr>
          <w:rFonts w:asciiTheme="minorHAnsi" w:hAnsiTheme="minorHAnsi" w:cstheme="minorHAnsi"/>
          <w:b w:val="0"/>
          <w:bCs w:val="0"/>
          <w:u w:val="none"/>
        </w:rPr>
        <w:t xml:space="preserve">.  </w:t>
      </w:r>
      <w:r w:rsidRPr="00F436F9">
        <w:rPr>
          <w:rFonts w:asciiTheme="minorHAnsi" w:hAnsiTheme="minorHAnsi" w:cstheme="minorHAnsi"/>
          <w:b w:val="0"/>
          <w:bCs w:val="0"/>
          <w:u w:val="none"/>
        </w:rPr>
        <w:t xml:space="preserve">Your Account Representative does not share in any additional compensation the Firm receives in connection with education and training activities but will participate </w:t>
      </w:r>
      <w:proofErr w:type="gramStart"/>
      <w:r w:rsidRPr="00F436F9">
        <w:rPr>
          <w:rFonts w:asciiTheme="minorHAnsi" w:hAnsiTheme="minorHAnsi" w:cstheme="minorHAnsi"/>
          <w:b w:val="0"/>
          <w:bCs w:val="0"/>
          <w:u w:val="none"/>
        </w:rPr>
        <w:t>at</w:t>
      </w:r>
      <w:proofErr w:type="gramEnd"/>
      <w:r w:rsidRPr="00F436F9">
        <w:rPr>
          <w:rFonts w:asciiTheme="minorHAnsi" w:hAnsiTheme="minorHAnsi" w:cstheme="minorHAnsi"/>
          <w:b w:val="0"/>
          <w:bCs w:val="0"/>
          <w:u w:val="none"/>
        </w:rPr>
        <w:t xml:space="preserve"> such education events.</w:t>
      </w:r>
    </w:p>
    <w:p w14:paraId="42F330E7" w14:textId="7C85E91B" w:rsidR="00322447" w:rsidRPr="00970986" w:rsidRDefault="00322447" w:rsidP="008311E3">
      <w:pPr>
        <w:pStyle w:val="Heading1"/>
        <w:kinsoku w:val="0"/>
        <w:overflowPunct w:val="0"/>
        <w:ind w:left="0"/>
        <w:rPr>
          <w:rFonts w:asciiTheme="minorHAnsi" w:hAnsiTheme="minorHAnsi" w:cstheme="minorHAnsi"/>
          <w:b w:val="0"/>
          <w:bCs w:val="0"/>
          <w:u w:val="none"/>
        </w:rPr>
      </w:pPr>
    </w:p>
    <w:p w14:paraId="384CBB6D" w14:textId="470C01A5" w:rsidR="00274671" w:rsidRPr="00970986" w:rsidRDefault="00274671" w:rsidP="00274671">
      <w:pPr>
        <w:pStyle w:val="Heading1"/>
        <w:numPr>
          <w:ilvl w:val="0"/>
          <w:numId w:val="32"/>
        </w:numPr>
        <w:kinsoku w:val="0"/>
        <w:overflowPunct w:val="0"/>
        <w:rPr>
          <w:rFonts w:asciiTheme="minorHAnsi" w:hAnsiTheme="minorHAnsi" w:cstheme="minorHAnsi"/>
          <w:u w:val="none"/>
        </w:rPr>
      </w:pPr>
      <w:r w:rsidRPr="00970986">
        <w:rPr>
          <w:rFonts w:asciiTheme="minorHAnsi" w:hAnsiTheme="minorHAnsi" w:cstheme="minorHAnsi"/>
          <w:u w:val="none"/>
        </w:rPr>
        <w:t xml:space="preserve"> </w:t>
      </w:r>
      <w:r w:rsidR="00E775FB" w:rsidRPr="00970986">
        <w:rPr>
          <w:rFonts w:asciiTheme="minorHAnsi" w:hAnsiTheme="minorHAnsi" w:cstheme="minorHAnsi"/>
          <w:u w:val="none"/>
        </w:rPr>
        <w:t>Best Interest Suitability Certification</w:t>
      </w:r>
    </w:p>
    <w:p w14:paraId="32A7EBD6" w14:textId="55C47368" w:rsidR="00E775FB" w:rsidRPr="00970986" w:rsidRDefault="00E775FB" w:rsidP="00E775FB">
      <w:pPr>
        <w:pStyle w:val="Heading1"/>
        <w:kinsoku w:val="0"/>
        <w:overflowPunct w:val="0"/>
        <w:ind w:left="0"/>
        <w:rPr>
          <w:rFonts w:asciiTheme="minorHAnsi" w:hAnsiTheme="minorHAnsi" w:cstheme="minorHAnsi"/>
          <w:b w:val="0"/>
          <w:bCs w:val="0"/>
          <w:u w:val="none"/>
        </w:rPr>
      </w:pPr>
      <w:r w:rsidRPr="00970986">
        <w:rPr>
          <w:rFonts w:asciiTheme="minorHAnsi" w:hAnsiTheme="minorHAnsi" w:cstheme="minorHAnsi"/>
          <w:b w:val="0"/>
          <w:bCs w:val="0"/>
          <w:u w:val="none"/>
        </w:rPr>
        <w:t>At the end of this document, AC and your Account Representative have included a form called the “Best Interest Suitability Certification.”  Pursuant to industry regulations, our Firm and your Account Representative are required to act in your best interest by ensuring your account, transactions and recommendations are in your best interest.  Upon opening an account, we ask that you complete the form</w:t>
      </w:r>
      <w:r w:rsidR="007F7F09" w:rsidRPr="00970986">
        <w:rPr>
          <w:rFonts w:asciiTheme="minorHAnsi" w:hAnsiTheme="minorHAnsi" w:cstheme="minorHAnsi"/>
          <w:b w:val="0"/>
          <w:bCs w:val="0"/>
          <w:u w:val="none"/>
        </w:rPr>
        <w:t>, along with your new account form</w:t>
      </w:r>
      <w:r w:rsidRPr="00970986">
        <w:rPr>
          <w:rFonts w:asciiTheme="minorHAnsi" w:hAnsiTheme="minorHAnsi" w:cstheme="minorHAnsi"/>
          <w:b w:val="0"/>
          <w:bCs w:val="0"/>
          <w:u w:val="none"/>
        </w:rPr>
        <w:t xml:space="preserve"> thoroughly</w:t>
      </w:r>
      <w:r w:rsidR="007F7F09" w:rsidRPr="00970986">
        <w:rPr>
          <w:rFonts w:asciiTheme="minorHAnsi" w:hAnsiTheme="minorHAnsi" w:cstheme="minorHAnsi"/>
          <w:b w:val="0"/>
          <w:bCs w:val="0"/>
          <w:u w:val="none"/>
        </w:rPr>
        <w:t xml:space="preserve">, </w:t>
      </w:r>
      <w:r w:rsidR="00D348C8" w:rsidRPr="00970986">
        <w:rPr>
          <w:rFonts w:asciiTheme="minorHAnsi" w:hAnsiTheme="minorHAnsi" w:cstheme="minorHAnsi"/>
          <w:b w:val="0"/>
          <w:bCs w:val="0"/>
          <w:u w:val="none"/>
        </w:rPr>
        <w:t>so</w:t>
      </w:r>
      <w:r w:rsidRPr="00970986">
        <w:rPr>
          <w:rFonts w:asciiTheme="minorHAnsi" w:hAnsiTheme="minorHAnsi" w:cstheme="minorHAnsi"/>
          <w:b w:val="0"/>
          <w:bCs w:val="0"/>
          <w:u w:val="none"/>
        </w:rPr>
        <w:t xml:space="preserve"> your Account Representative has a full understanding of your financial needs</w:t>
      </w:r>
      <w:r w:rsidR="00D348C8" w:rsidRPr="00970986">
        <w:rPr>
          <w:rFonts w:asciiTheme="minorHAnsi" w:hAnsiTheme="minorHAnsi" w:cstheme="minorHAnsi"/>
          <w:b w:val="0"/>
          <w:bCs w:val="0"/>
          <w:u w:val="none"/>
        </w:rPr>
        <w:t>,</w:t>
      </w:r>
      <w:r w:rsidRPr="00970986">
        <w:rPr>
          <w:rFonts w:asciiTheme="minorHAnsi" w:hAnsiTheme="minorHAnsi" w:cstheme="minorHAnsi"/>
          <w:b w:val="0"/>
          <w:bCs w:val="0"/>
          <w:u w:val="none"/>
        </w:rPr>
        <w:t xml:space="preserve"> goals, and </w:t>
      </w:r>
      <w:r w:rsidR="00653DA0" w:rsidRPr="00970986">
        <w:rPr>
          <w:rFonts w:asciiTheme="minorHAnsi" w:hAnsiTheme="minorHAnsi" w:cstheme="minorHAnsi"/>
          <w:b w:val="0"/>
          <w:bCs w:val="0"/>
          <w:u w:val="none"/>
        </w:rPr>
        <w:t xml:space="preserve">suitability information </w:t>
      </w:r>
      <w:r w:rsidRPr="00970986">
        <w:rPr>
          <w:rFonts w:asciiTheme="minorHAnsi" w:hAnsiTheme="minorHAnsi" w:cstheme="minorHAnsi"/>
          <w:b w:val="0"/>
          <w:bCs w:val="0"/>
          <w:u w:val="none"/>
        </w:rPr>
        <w:t xml:space="preserve">so he/she can recommend the correct type of account and securities. </w:t>
      </w:r>
      <w:r w:rsidR="00D348C8" w:rsidRPr="00970986">
        <w:rPr>
          <w:rFonts w:asciiTheme="minorHAnsi" w:hAnsiTheme="minorHAnsi" w:cstheme="minorHAnsi"/>
          <w:b w:val="0"/>
          <w:bCs w:val="0"/>
          <w:u w:val="none"/>
        </w:rPr>
        <w:t xml:space="preserve">If you have any questions about the completion of this form, please contact your Account Representative. </w:t>
      </w:r>
    </w:p>
    <w:sectPr w:rsidR="00E775FB" w:rsidRPr="00970986" w:rsidSect="007E35C0">
      <w:pgSz w:w="12240" w:h="15840"/>
      <w:pgMar w:top="990" w:right="117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0403" w14:textId="77777777" w:rsidR="00CE05C5" w:rsidRDefault="00CE05C5" w:rsidP="00BD41FD">
      <w:r>
        <w:separator/>
      </w:r>
    </w:p>
  </w:endnote>
  <w:endnote w:type="continuationSeparator" w:id="0">
    <w:p w14:paraId="115FB154" w14:textId="77777777" w:rsidR="00CE05C5" w:rsidRDefault="00CE05C5" w:rsidP="00BD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altName w:val="Archer Book"/>
    <w:panose1 w:val="00000000000000000000"/>
    <w:charset w:val="00"/>
    <w:family w:val="modern"/>
    <w:notTrueType/>
    <w:pitch w:val="variable"/>
    <w:sig w:usb0="00000001" w:usb1="40000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6B33" w14:textId="77777777" w:rsidR="00CE05C5" w:rsidRDefault="00CE05C5" w:rsidP="00BD41FD">
      <w:r>
        <w:separator/>
      </w:r>
    </w:p>
  </w:footnote>
  <w:footnote w:type="continuationSeparator" w:id="0">
    <w:p w14:paraId="19102202" w14:textId="77777777" w:rsidR="00CE05C5" w:rsidRDefault="00CE05C5" w:rsidP="00BD41FD">
      <w:r>
        <w:continuationSeparator/>
      </w:r>
    </w:p>
  </w:footnote>
  <w:footnote w:id="1">
    <w:p w14:paraId="0D740328" w14:textId="69942CC1" w:rsidR="00B70EF5" w:rsidRDefault="00B70EF5">
      <w:pPr>
        <w:pStyle w:val="FootnoteText"/>
      </w:pPr>
      <w:r>
        <w:rPr>
          <w:rStyle w:val="FootnoteReference"/>
        </w:rPr>
        <w:footnoteRef/>
      </w:r>
      <w:r>
        <w:t xml:space="preserve"> </w:t>
      </w:r>
      <w:r w:rsidR="006F0B51" w:rsidRPr="006F0B51">
        <w:rPr>
          <w:rFonts w:asciiTheme="minorHAnsi" w:hAnsiTheme="minorHAnsi" w:cstheme="minorHAnsi"/>
          <w:sz w:val="16"/>
          <w:szCs w:val="16"/>
        </w:rPr>
        <w:t xml:space="preserve">Please review </w:t>
      </w:r>
      <w:proofErr w:type="spellStart"/>
      <w:r w:rsidR="006F0B51" w:rsidRPr="006F0B51">
        <w:rPr>
          <w:rFonts w:asciiTheme="minorHAnsi" w:hAnsiTheme="minorHAnsi" w:cstheme="minorHAnsi"/>
          <w:sz w:val="16"/>
          <w:szCs w:val="16"/>
        </w:rPr>
        <w:t>Arkadios</w:t>
      </w:r>
      <w:proofErr w:type="spellEnd"/>
      <w:r w:rsidR="006F0B51" w:rsidRPr="006F0B51">
        <w:rPr>
          <w:rFonts w:asciiTheme="minorHAnsi" w:hAnsiTheme="minorHAnsi" w:cstheme="minorHAnsi"/>
          <w:sz w:val="16"/>
          <w:szCs w:val="16"/>
        </w:rPr>
        <w:t xml:space="preserve"> Wealth Advisors terms and conditions and associated Program materials for a full description of AWA’s investment advisory services, including each Program’s terms, </w:t>
      </w:r>
      <w:proofErr w:type="gramStart"/>
      <w:r w:rsidR="006F0B51" w:rsidRPr="006F0B51">
        <w:rPr>
          <w:rFonts w:asciiTheme="minorHAnsi" w:hAnsiTheme="minorHAnsi" w:cstheme="minorHAnsi"/>
          <w:sz w:val="16"/>
          <w:szCs w:val="16"/>
        </w:rPr>
        <w:t>fees</w:t>
      </w:r>
      <w:proofErr w:type="gramEnd"/>
      <w:r w:rsidR="006F0B51" w:rsidRPr="006F0B51">
        <w:rPr>
          <w:rFonts w:asciiTheme="minorHAnsi" w:hAnsiTheme="minorHAnsi" w:cstheme="minorHAnsi"/>
          <w:sz w:val="16"/>
          <w:szCs w:val="16"/>
        </w:rPr>
        <w:t xml:space="preserve"> and expenses.  A copy of AWA’s ADV is available upon request.</w:t>
      </w:r>
      <w:r w:rsidR="006F0B51">
        <w:t xml:space="preserve"> </w:t>
      </w:r>
    </w:p>
  </w:footnote>
  <w:footnote w:id="2">
    <w:p w14:paraId="77FE065B" w14:textId="5DED9F0A" w:rsidR="007C562C" w:rsidRDefault="007C562C">
      <w:pPr>
        <w:pStyle w:val="FootnoteText"/>
      </w:pPr>
      <w:r>
        <w:rPr>
          <w:rStyle w:val="FootnoteReference"/>
        </w:rPr>
        <w:footnoteRef/>
      </w:r>
      <w:r>
        <w:t xml:space="preserve"> </w:t>
      </w:r>
      <w:r w:rsidR="00877A3D" w:rsidRPr="00E26705">
        <w:rPr>
          <w:rFonts w:asciiTheme="minorHAnsi" w:hAnsiTheme="minorHAnsi" w:cstheme="minorHAnsi"/>
          <w:sz w:val="16"/>
          <w:szCs w:val="16"/>
        </w:rPr>
        <w:t xml:space="preserve">The term “retail customers” refers to natural persons and the individual legal representatives of such natural persons. This term does not apply to </w:t>
      </w:r>
      <w:r w:rsidR="00E26705" w:rsidRPr="00E26705">
        <w:rPr>
          <w:rFonts w:asciiTheme="minorHAnsi" w:hAnsiTheme="minorHAnsi" w:cstheme="minorHAnsi"/>
          <w:sz w:val="16"/>
          <w:szCs w:val="16"/>
        </w:rPr>
        <w:t>institutional</w:t>
      </w:r>
      <w:r w:rsidR="00877A3D" w:rsidRPr="00E26705">
        <w:rPr>
          <w:rFonts w:asciiTheme="minorHAnsi" w:hAnsiTheme="minorHAnsi" w:cstheme="minorHAnsi"/>
          <w:sz w:val="16"/>
          <w:szCs w:val="16"/>
        </w:rPr>
        <w:t xml:space="preserve"> accounts (including corporations, partnerships, institutional trust accounts, etc.)</w:t>
      </w:r>
      <w:r w:rsidR="00757E77" w:rsidRPr="00E26705">
        <w:rPr>
          <w:rFonts w:asciiTheme="minorHAnsi" w:hAnsiTheme="minorHAnsi" w:cstheme="minorHAnsi"/>
          <w:sz w:val="16"/>
          <w:szCs w:val="16"/>
        </w:rPr>
        <w:t xml:space="preserve"> and other accounts which are not subject to laws, rules, and </w:t>
      </w:r>
      <w:r w:rsidR="00E26705" w:rsidRPr="00E26705">
        <w:rPr>
          <w:rFonts w:asciiTheme="minorHAnsi" w:hAnsiTheme="minorHAnsi" w:cstheme="minorHAnsi"/>
          <w:sz w:val="16"/>
          <w:szCs w:val="16"/>
        </w:rPr>
        <w:t>regulations</w:t>
      </w:r>
      <w:r w:rsidR="00757E77" w:rsidRPr="00E26705">
        <w:rPr>
          <w:rFonts w:asciiTheme="minorHAnsi" w:hAnsiTheme="minorHAnsi" w:cstheme="minorHAnsi"/>
          <w:sz w:val="16"/>
          <w:szCs w:val="16"/>
        </w:rPr>
        <w:t xml:space="preserve"> applicable only to retail customers.  Accounts other than retail customer</w:t>
      </w:r>
      <w:r w:rsidR="00E26705" w:rsidRPr="00E26705">
        <w:rPr>
          <w:rFonts w:asciiTheme="minorHAnsi" w:hAnsiTheme="minorHAnsi" w:cstheme="minorHAnsi"/>
          <w:sz w:val="16"/>
          <w:szCs w:val="16"/>
        </w:rPr>
        <w:t xml:space="preserve"> accounts, however, remain subject to all other applicable laws, rules, and regulations.</w:t>
      </w:r>
      <w:r w:rsidR="00E26705">
        <w:t xml:space="preserve"> </w:t>
      </w:r>
    </w:p>
  </w:footnote>
  <w:footnote w:id="3">
    <w:p w14:paraId="151D903C" w14:textId="75FFF6D3" w:rsidR="00193633" w:rsidRDefault="004C580D">
      <w:pPr>
        <w:pStyle w:val="FootnoteText"/>
      </w:pPr>
      <w:r>
        <w:rPr>
          <w:rStyle w:val="FootnoteReference"/>
        </w:rPr>
        <w:footnoteRef/>
      </w:r>
      <w:r w:rsidRPr="004C580D">
        <w:rPr>
          <w:rFonts w:asciiTheme="minorHAnsi" w:hAnsiTheme="minorHAnsi" w:cstheme="minorHAnsi"/>
          <w:sz w:val="16"/>
          <w:szCs w:val="16"/>
        </w:rPr>
        <w:t>The fund company takes 12b-1 fees out of the fund’s assets each year for marketing and distribution expenses, which includes compensation to AC and its account representatives, as set forth in the mutual fund’s prospectus.</w:t>
      </w:r>
    </w:p>
  </w:footnote>
  <w:footnote w:id="4">
    <w:p w14:paraId="6CD21356" w14:textId="6DCA23AC" w:rsidR="00413F1B" w:rsidRPr="00413F1B" w:rsidRDefault="00413F1B">
      <w:pPr>
        <w:pStyle w:val="FootnoteText"/>
        <w:rPr>
          <w:rFonts w:asciiTheme="minorHAnsi" w:hAnsiTheme="minorHAnsi" w:cstheme="minorHAnsi"/>
          <w:sz w:val="16"/>
          <w:szCs w:val="16"/>
        </w:rPr>
      </w:pPr>
      <w:r w:rsidRPr="00413F1B">
        <w:rPr>
          <w:rStyle w:val="FootnoteReference"/>
          <w:rFonts w:asciiTheme="minorHAnsi" w:hAnsiTheme="minorHAnsi" w:cstheme="minorHAnsi"/>
          <w:sz w:val="16"/>
          <w:szCs w:val="16"/>
        </w:rPr>
        <w:footnoteRef/>
      </w:r>
      <w:r w:rsidRPr="00413F1B">
        <w:rPr>
          <w:rFonts w:asciiTheme="minorHAnsi" w:hAnsiTheme="minorHAnsi" w:cstheme="minorHAnsi"/>
          <w:sz w:val="16"/>
          <w:szCs w:val="16"/>
        </w:rPr>
        <w:t xml:space="preserve"> Annuities can have either fixed or variable features.  Variable annuities are subject to risk, which means the value of your investment could decrease below or increase above the initial investment.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abstractNum w:abstractNumId="0" w15:restartNumberingAfterBreak="0">
    <w:nsid w:val="00000402"/>
    <w:multiLevelType w:val="multilevel"/>
    <w:tmpl w:val="00000885"/>
    <w:lvl w:ilvl="0">
      <w:numFmt w:val="bullet"/>
      <w:lvlText w:val="•"/>
      <w:lvlJc w:val="left"/>
      <w:pPr>
        <w:ind w:left="138" w:hanging="139"/>
      </w:pPr>
      <w:rPr>
        <w:rFonts w:ascii="Book Antiqua" w:hAnsi="Book Antiqua" w:cs="Book Antiqua"/>
        <w:b w:val="0"/>
        <w:bCs w:val="0"/>
        <w:color w:val="231F20"/>
        <w:w w:val="43"/>
        <w:sz w:val="20"/>
        <w:szCs w:val="20"/>
      </w:rPr>
    </w:lvl>
    <w:lvl w:ilvl="1">
      <w:numFmt w:val="bullet"/>
      <w:lvlText w:val="•"/>
      <w:lvlJc w:val="left"/>
      <w:pPr>
        <w:ind w:left="670" w:hanging="139"/>
      </w:pPr>
    </w:lvl>
    <w:lvl w:ilvl="2">
      <w:numFmt w:val="bullet"/>
      <w:lvlText w:val="•"/>
      <w:lvlJc w:val="left"/>
      <w:pPr>
        <w:ind w:left="1201" w:hanging="139"/>
      </w:pPr>
    </w:lvl>
    <w:lvl w:ilvl="3">
      <w:numFmt w:val="bullet"/>
      <w:lvlText w:val="•"/>
      <w:lvlJc w:val="left"/>
      <w:pPr>
        <w:ind w:left="1732" w:hanging="139"/>
      </w:pPr>
    </w:lvl>
    <w:lvl w:ilvl="4">
      <w:numFmt w:val="bullet"/>
      <w:lvlText w:val="•"/>
      <w:lvlJc w:val="left"/>
      <w:pPr>
        <w:ind w:left="2263" w:hanging="139"/>
      </w:pPr>
    </w:lvl>
    <w:lvl w:ilvl="5">
      <w:numFmt w:val="bullet"/>
      <w:lvlText w:val="•"/>
      <w:lvlJc w:val="left"/>
      <w:pPr>
        <w:ind w:left="2794" w:hanging="139"/>
      </w:pPr>
    </w:lvl>
    <w:lvl w:ilvl="6">
      <w:numFmt w:val="bullet"/>
      <w:lvlText w:val="•"/>
      <w:lvlJc w:val="left"/>
      <w:pPr>
        <w:ind w:left="3325" w:hanging="139"/>
      </w:pPr>
    </w:lvl>
    <w:lvl w:ilvl="7">
      <w:numFmt w:val="bullet"/>
      <w:lvlText w:val="•"/>
      <w:lvlJc w:val="left"/>
      <w:pPr>
        <w:ind w:left="3856" w:hanging="139"/>
      </w:pPr>
    </w:lvl>
    <w:lvl w:ilvl="8">
      <w:numFmt w:val="bullet"/>
      <w:lvlText w:val="•"/>
      <w:lvlJc w:val="left"/>
      <w:pPr>
        <w:ind w:left="4386" w:hanging="139"/>
      </w:pPr>
    </w:lvl>
  </w:abstractNum>
  <w:abstractNum w:abstractNumId="1" w15:restartNumberingAfterBreak="0">
    <w:nsid w:val="00000403"/>
    <w:multiLevelType w:val="multilevel"/>
    <w:tmpl w:val="00000886"/>
    <w:lvl w:ilvl="0">
      <w:numFmt w:val="bullet"/>
      <w:lvlText w:val=""/>
      <w:lvlJc w:val="left"/>
      <w:pPr>
        <w:ind w:left="268" w:hanging="114"/>
      </w:pPr>
      <w:rPr>
        <w:rFonts w:ascii="Wingdings" w:hAnsi="Wingdings" w:cs="Wingdings"/>
        <w:b w:val="0"/>
        <w:bCs w:val="0"/>
        <w:color w:val="231F20"/>
        <w:w w:val="100"/>
        <w:sz w:val="19"/>
        <w:szCs w:val="19"/>
      </w:rPr>
    </w:lvl>
    <w:lvl w:ilvl="1">
      <w:numFmt w:val="bullet"/>
      <w:lvlText w:val="•"/>
      <w:lvlJc w:val="left"/>
      <w:pPr>
        <w:ind w:left="851" w:hanging="114"/>
      </w:pPr>
    </w:lvl>
    <w:lvl w:ilvl="2">
      <w:numFmt w:val="bullet"/>
      <w:lvlText w:val="•"/>
      <w:lvlJc w:val="left"/>
      <w:pPr>
        <w:ind w:left="1442" w:hanging="114"/>
      </w:pPr>
    </w:lvl>
    <w:lvl w:ilvl="3">
      <w:numFmt w:val="bullet"/>
      <w:lvlText w:val="•"/>
      <w:lvlJc w:val="left"/>
      <w:pPr>
        <w:ind w:left="2034" w:hanging="114"/>
      </w:pPr>
    </w:lvl>
    <w:lvl w:ilvl="4">
      <w:numFmt w:val="bullet"/>
      <w:lvlText w:val="•"/>
      <w:lvlJc w:val="left"/>
      <w:pPr>
        <w:ind w:left="2625" w:hanging="114"/>
      </w:pPr>
    </w:lvl>
    <w:lvl w:ilvl="5">
      <w:numFmt w:val="bullet"/>
      <w:lvlText w:val="•"/>
      <w:lvlJc w:val="left"/>
      <w:pPr>
        <w:ind w:left="3217" w:hanging="114"/>
      </w:pPr>
    </w:lvl>
    <w:lvl w:ilvl="6">
      <w:numFmt w:val="bullet"/>
      <w:lvlText w:val="•"/>
      <w:lvlJc w:val="left"/>
      <w:pPr>
        <w:ind w:left="3808" w:hanging="114"/>
      </w:pPr>
    </w:lvl>
    <w:lvl w:ilvl="7">
      <w:numFmt w:val="bullet"/>
      <w:lvlText w:val="•"/>
      <w:lvlJc w:val="left"/>
      <w:pPr>
        <w:ind w:left="4399" w:hanging="114"/>
      </w:pPr>
    </w:lvl>
    <w:lvl w:ilvl="8">
      <w:numFmt w:val="bullet"/>
      <w:lvlText w:val="•"/>
      <w:lvlJc w:val="left"/>
      <w:pPr>
        <w:ind w:left="4991" w:hanging="114"/>
      </w:pPr>
    </w:lvl>
  </w:abstractNum>
  <w:abstractNum w:abstractNumId="2" w15:restartNumberingAfterBreak="0">
    <w:nsid w:val="0B085BBB"/>
    <w:multiLevelType w:val="hybridMultilevel"/>
    <w:tmpl w:val="B91E41B0"/>
    <w:lvl w:ilvl="0" w:tplc="8DC41B0E">
      <w:start w:val="1"/>
      <w:numFmt w:val="decimal"/>
      <w:lvlText w:val="%1."/>
      <w:lvlJc w:val="left"/>
      <w:pPr>
        <w:ind w:left="839" w:hanging="361"/>
      </w:pPr>
      <w:rPr>
        <w:rFonts w:ascii="Arial" w:eastAsia="Arial" w:hAnsi="Arial" w:cs="Arial" w:hint="default"/>
        <w:spacing w:val="-1"/>
        <w:w w:val="100"/>
        <w:sz w:val="16"/>
        <w:szCs w:val="16"/>
      </w:rPr>
    </w:lvl>
    <w:lvl w:ilvl="1" w:tplc="46AA7F9C">
      <w:numFmt w:val="bullet"/>
      <w:lvlText w:val="•"/>
      <w:lvlJc w:val="left"/>
      <w:pPr>
        <w:ind w:left="1714" w:hanging="361"/>
      </w:pPr>
      <w:rPr>
        <w:rFonts w:hint="default"/>
      </w:rPr>
    </w:lvl>
    <w:lvl w:ilvl="2" w:tplc="25B8890C">
      <w:numFmt w:val="bullet"/>
      <w:lvlText w:val="•"/>
      <w:lvlJc w:val="left"/>
      <w:pPr>
        <w:ind w:left="2588" w:hanging="361"/>
      </w:pPr>
      <w:rPr>
        <w:rFonts w:hint="default"/>
      </w:rPr>
    </w:lvl>
    <w:lvl w:ilvl="3" w:tplc="0B0E7F42">
      <w:numFmt w:val="bullet"/>
      <w:lvlText w:val="•"/>
      <w:lvlJc w:val="left"/>
      <w:pPr>
        <w:ind w:left="3462" w:hanging="361"/>
      </w:pPr>
      <w:rPr>
        <w:rFonts w:hint="default"/>
      </w:rPr>
    </w:lvl>
    <w:lvl w:ilvl="4" w:tplc="8F5AE20C">
      <w:numFmt w:val="bullet"/>
      <w:lvlText w:val="•"/>
      <w:lvlJc w:val="left"/>
      <w:pPr>
        <w:ind w:left="4336" w:hanging="361"/>
      </w:pPr>
      <w:rPr>
        <w:rFonts w:hint="default"/>
      </w:rPr>
    </w:lvl>
    <w:lvl w:ilvl="5" w:tplc="89D65B96">
      <w:numFmt w:val="bullet"/>
      <w:lvlText w:val="•"/>
      <w:lvlJc w:val="left"/>
      <w:pPr>
        <w:ind w:left="5210" w:hanging="361"/>
      </w:pPr>
      <w:rPr>
        <w:rFonts w:hint="default"/>
      </w:rPr>
    </w:lvl>
    <w:lvl w:ilvl="6" w:tplc="21F2A48C">
      <w:numFmt w:val="bullet"/>
      <w:lvlText w:val="•"/>
      <w:lvlJc w:val="left"/>
      <w:pPr>
        <w:ind w:left="6084" w:hanging="361"/>
      </w:pPr>
      <w:rPr>
        <w:rFonts w:hint="default"/>
      </w:rPr>
    </w:lvl>
    <w:lvl w:ilvl="7" w:tplc="1DD60B5E">
      <w:numFmt w:val="bullet"/>
      <w:lvlText w:val="•"/>
      <w:lvlJc w:val="left"/>
      <w:pPr>
        <w:ind w:left="6958" w:hanging="361"/>
      </w:pPr>
      <w:rPr>
        <w:rFonts w:hint="default"/>
      </w:rPr>
    </w:lvl>
    <w:lvl w:ilvl="8" w:tplc="5E52DFA4">
      <w:numFmt w:val="bullet"/>
      <w:lvlText w:val="•"/>
      <w:lvlJc w:val="left"/>
      <w:pPr>
        <w:ind w:left="7832" w:hanging="361"/>
      </w:pPr>
      <w:rPr>
        <w:rFonts w:hint="default"/>
      </w:rPr>
    </w:lvl>
  </w:abstractNum>
  <w:abstractNum w:abstractNumId="3" w15:restartNumberingAfterBreak="0">
    <w:nsid w:val="0E7A0CC4"/>
    <w:multiLevelType w:val="hybridMultilevel"/>
    <w:tmpl w:val="EBD2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02734"/>
    <w:multiLevelType w:val="hybridMultilevel"/>
    <w:tmpl w:val="4414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15EBC"/>
    <w:multiLevelType w:val="hybridMultilevel"/>
    <w:tmpl w:val="357E7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125C0"/>
    <w:multiLevelType w:val="hybridMultilevel"/>
    <w:tmpl w:val="BF222DE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9E1149D"/>
    <w:multiLevelType w:val="hybridMultilevel"/>
    <w:tmpl w:val="0D78F914"/>
    <w:lvl w:ilvl="0" w:tplc="175685EC">
      <w:start w:val="1"/>
      <w:numFmt w:val="decimal"/>
      <w:lvlText w:val="%1."/>
      <w:lvlJc w:val="left"/>
      <w:pPr>
        <w:ind w:left="840" w:hanging="361"/>
      </w:pPr>
      <w:rPr>
        <w:rFonts w:ascii="Arial" w:eastAsia="Arial" w:hAnsi="Arial" w:cs="Arial" w:hint="default"/>
        <w:w w:val="99"/>
        <w:sz w:val="16"/>
        <w:szCs w:val="16"/>
      </w:rPr>
    </w:lvl>
    <w:lvl w:ilvl="1" w:tplc="210E9A56">
      <w:numFmt w:val="bullet"/>
      <w:lvlText w:val="•"/>
      <w:lvlJc w:val="left"/>
      <w:pPr>
        <w:ind w:left="1714" w:hanging="361"/>
      </w:pPr>
      <w:rPr>
        <w:rFonts w:hint="default"/>
      </w:rPr>
    </w:lvl>
    <w:lvl w:ilvl="2" w:tplc="457C3632">
      <w:numFmt w:val="bullet"/>
      <w:lvlText w:val="•"/>
      <w:lvlJc w:val="left"/>
      <w:pPr>
        <w:ind w:left="2588" w:hanging="361"/>
      </w:pPr>
      <w:rPr>
        <w:rFonts w:hint="default"/>
      </w:rPr>
    </w:lvl>
    <w:lvl w:ilvl="3" w:tplc="6D8044CE">
      <w:numFmt w:val="bullet"/>
      <w:lvlText w:val="•"/>
      <w:lvlJc w:val="left"/>
      <w:pPr>
        <w:ind w:left="3462" w:hanging="361"/>
      </w:pPr>
      <w:rPr>
        <w:rFonts w:hint="default"/>
      </w:rPr>
    </w:lvl>
    <w:lvl w:ilvl="4" w:tplc="F462F630">
      <w:numFmt w:val="bullet"/>
      <w:lvlText w:val="•"/>
      <w:lvlJc w:val="left"/>
      <w:pPr>
        <w:ind w:left="4336" w:hanging="361"/>
      </w:pPr>
      <w:rPr>
        <w:rFonts w:hint="default"/>
      </w:rPr>
    </w:lvl>
    <w:lvl w:ilvl="5" w:tplc="1520E7E8">
      <w:numFmt w:val="bullet"/>
      <w:lvlText w:val="•"/>
      <w:lvlJc w:val="left"/>
      <w:pPr>
        <w:ind w:left="5210" w:hanging="361"/>
      </w:pPr>
      <w:rPr>
        <w:rFonts w:hint="default"/>
      </w:rPr>
    </w:lvl>
    <w:lvl w:ilvl="6" w:tplc="3934CC22">
      <w:numFmt w:val="bullet"/>
      <w:lvlText w:val="•"/>
      <w:lvlJc w:val="left"/>
      <w:pPr>
        <w:ind w:left="6084" w:hanging="361"/>
      </w:pPr>
      <w:rPr>
        <w:rFonts w:hint="default"/>
      </w:rPr>
    </w:lvl>
    <w:lvl w:ilvl="7" w:tplc="F3767D4A">
      <w:numFmt w:val="bullet"/>
      <w:lvlText w:val="•"/>
      <w:lvlJc w:val="left"/>
      <w:pPr>
        <w:ind w:left="6958" w:hanging="361"/>
      </w:pPr>
      <w:rPr>
        <w:rFonts w:hint="default"/>
      </w:rPr>
    </w:lvl>
    <w:lvl w:ilvl="8" w:tplc="E634F9DC">
      <w:numFmt w:val="bullet"/>
      <w:lvlText w:val="•"/>
      <w:lvlJc w:val="left"/>
      <w:pPr>
        <w:ind w:left="7832" w:hanging="361"/>
      </w:pPr>
      <w:rPr>
        <w:rFonts w:hint="default"/>
      </w:rPr>
    </w:lvl>
  </w:abstractNum>
  <w:abstractNum w:abstractNumId="8" w15:restartNumberingAfterBreak="0">
    <w:nsid w:val="1EFA277E"/>
    <w:multiLevelType w:val="hybridMultilevel"/>
    <w:tmpl w:val="A57E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20A5A"/>
    <w:multiLevelType w:val="hybridMultilevel"/>
    <w:tmpl w:val="DA847566"/>
    <w:lvl w:ilvl="0" w:tplc="D900556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203552A5"/>
    <w:multiLevelType w:val="hybridMultilevel"/>
    <w:tmpl w:val="977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65510"/>
    <w:multiLevelType w:val="hybridMultilevel"/>
    <w:tmpl w:val="3A4024C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5E50703"/>
    <w:multiLevelType w:val="hybridMultilevel"/>
    <w:tmpl w:val="3C3AF2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67D5376"/>
    <w:multiLevelType w:val="hybridMultilevel"/>
    <w:tmpl w:val="DB8ABB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82B3EAB"/>
    <w:multiLevelType w:val="multilevel"/>
    <w:tmpl w:val="C110246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C835BD"/>
    <w:multiLevelType w:val="hybridMultilevel"/>
    <w:tmpl w:val="9160B2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2B40779D"/>
    <w:multiLevelType w:val="hybridMultilevel"/>
    <w:tmpl w:val="3DE87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7137B5"/>
    <w:multiLevelType w:val="hybridMultilevel"/>
    <w:tmpl w:val="C56E8E80"/>
    <w:lvl w:ilvl="0" w:tplc="04090013">
      <w:start w:val="1"/>
      <w:numFmt w:val="upperRoman"/>
      <w:lvlText w:val="%1."/>
      <w:lvlJc w:val="righ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8" w15:restartNumberingAfterBreak="0">
    <w:nsid w:val="3BF69965"/>
    <w:multiLevelType w:val="hybridMultilevel"/>
    <w:tmpl w:val="A86DF4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E6B62E3"/>
    <w:multiLevelType w:val="hybridMultilevel"/>
    <w:tmpl w:val="D772BF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6B55512"/>
    <w:multiLevelType w:val="hybridMultilevel"/>
    <w:tmpl w:val="CDF6EA3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1" w15:restartNumberingAfterBreak="0">
    <w:nsid w:val="498E16B3"/>
    <w:multiLevelType w:val="hybridMultilevel"/>
    <w:tmpl w:val="EA2C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046D2"/>
    <w:multiLevelType w:val="hybridMultilevel"/>
    <w:tmpl w:val="594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553A0"/>
    <w:multiLevelType w:val="hybridMultilevel"/>
    <w:tmpl w:val="DAAA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67C76"/>
    <w:multiLevelType w:val="hybridMultilevel"/>
    <w:tmpl w:val="2C42371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59CC3DAB"/>
    <w:multiLevelType w:val="hybridMultilevel"/>
    <w:tmpl w:val="3ECA48E6"/>
    <w:lvl w:ilvl="0" w:tplc="BDB6878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5E0A71EA"/>
    <w:multiLevelType w:val="hybridMultilevel"/>
    <w:tmpl w:val="E774003C"/>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624A013E"/>
    <w:multiLevelType w:val="hybridMultilevel"/>
    <w:tmpl w:val="39B41660"/>
    <w:lvl w:ilvl="0" w:tplc="3E52226E">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63FE7013"/>
    <w:multiLevelType w:val="hybridMultilevel"/>
    <w:tmpl w:val="E7C0DF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4294C02"/>
    <w:multiLevelType w:val="hybridMultilevel"/>
    <w:tmpl w:val="2B443C34"/>
    <w:lvl w:ilvl="0" w:tplc="3476F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655B00"/>
    <w:multiLevelType w:val="hybridMultilevel"/>
    <w:tmpl w:val="9E883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0D04E7"/>
    <w:multiLevelType w:val="hybridMultilevel"/>
    <w:tmpl w:val="7FBE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31D0E"/>
    <w:multiLevelType w:val="hybridMultilevel"/>
    <w:tmpl w:val="8B0E1744"/>
    <w:lvl w:ilvl="0" w:tplc="B0F07BB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15:restartNumberingAfterBreak="0">
    <w:nsid w:val="7FBD3C4A"/>
    <w:multiLevelType w:val="hybridMultilevel"/>
    <w:tmpl w:val="AC519A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95766434">
    <w:abstractNumId w:val="7"/>
  </w:num>
  <w:num w:numId="2" w16cid:durableId="2042709003">
    <w:abstractNumId w:val="15"/>
  </w:num>
  <w:num w:numId="3" w16cid:durableId="1552887989">
    <w:abstractNumId w:val="20"/>
  </w:num>
  <w:num w:numId="4" w16cid:durableId="2002153334">
    <w:abstractNumId w:val="19"/>
  </w:num>
  <w:num w:numId="5" w16cid:durableId="1165128662">
    <w:abstractNumId w:val="32"/>
  </w:num>
  <w:num w:numId="6" w16cid:durableId="770972166">
    <w:abstractNumId w:val="18"/>
  </w:num>
  <w:num w:numId="7" w16cid:durableId="1031615664">
    <w:abstractNumId w:val="31"/>
  </w:num>
  <w:num w:numId="8" w16cid:durableId="835192669">
    <w:abstractNumId w:val="28"/>
  </w:num>
  <w:num w:numId="9" w16cid:durableId="1253465203">
    <w:abstractNumId w:val="22"/>
  </w:num>
  <w:num w:numId="10" w16cid:durableId="415979354">
    <w:abstractNumId w:val="6"/>
  </w:num>
  <w:num w:numId="11" w16cid:durableId="1516574430">
    <w:abstractNumId w:val="17"/>
  </w:num>
  <w:num w:numId="12" w16cid:durableId="1358503741">
    <w:abstractNumId w:val="27"/>
  </w:num>
  <w:num w:numId="13" w16cid:durableId="432631338">
    <w:abstractNumId w:val="14"/>
  </w:num>
  <w:num w:numId="14" w16cid:durableId="357896413">
    <w:abstractNumId w:val="13"/>
  </w:num>
  <w:num w:numId="15" w16cid:durableId="1579754322">
    <w:abstractNumId w:val="11"/>
  </w:num>
  <w:num w:numId="16" w16cid:durableId="895432604">
    <w:abstractNumId w:val="12"/>
  </w:num>
  <w:num w:numId="17" w16cid:durableId="206993027">
    <w:abstractNumId w:val="2"/>
  </w:num>
  <w:num w:numId="18" w16cid:durableId="1011759062">
    <w:abstractNumId w:val="24"/>
  </w:num>
  <w:num w:numId="19" w16cid:durableId="1803843573">
    <w:abstractNumId w:val="21"/>
  </w:num>
  <w:num w:numId="20" w16cid:durableId="183130877">
    <w:abstractNumId w:val="3"/>
  </w:num>
  <w:num w:numId="21" w16cid:durableId="1125195548">
    <w:abstractNumId w:val="8"/>
  </w:num>
  <w:num w:numId="22" w16cid:durableId="1311640235">
    <w:abstractNumId w:val="4"/>
  </w:num>
  <w:num w:numId="23" w16cid:durableId="43598844">
    <w:abstractNumId w:val="1"/>
  </w:num>
  <w:num w:numId="24" w16cid:durableId="1636716335">
    <w:abstractNumId w:val="0"/>
  </w:num>
  <w:num w:numId="25" w16cid:durableId="1619801389">
    <w:abstractNumId w:val="33"/>
  </w:num>
  <w:num w:numId="26" w16cid:durableId="1989550185">
    <w:abstractNumId w:val="29"/>
  </w:num>
  <w:num w:numId="27" w16cid:durableId="558175875">
    <w:abstractNumId w:val="30"/>
  </w:num>
  <w:num w:numId="28" w16cid:durableId="1331172974">
    <w:abstractNumId w:val="5"/>
  </w:num>
  <w:num w:numId="29" w16cid:durableId="1511332956">
    <w:abstractNumId w:val="16"/>
  </w:num>
  <w:num w:numId="30" w16cid:durableId="766969704">
    <w:abstractNumId w:val="26"/>
  </w:num>
  <w:num w:numId="31" w16cid:durableId="236021426">
    <w:abstractNumId w:val="9"/>
  </w:num>
  <w:num w:numId="32" w16cid:durableId="815101936">
    <w:abstractNumId w:val="25"/>
  </w:num>
  <w:num w:numId="33" w16cid:durableId="850946029">
    <w:abstractNumId w:val="23"/>
  </w:num>
  <w:num w:numId="34" w16cid:durableId="19908601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FD"/>
    <w:rsid w:val="000042C4"/>
    <w:rsid w:val="00014373"/>
    <w:rsid w:val="000206AC"/>
    <w:rsid w:val="00022698"/>
    <w:rsid w:val="00026FA7"/>
    <w:rsid w:val="00031E98"/>
    <w:rsid w:val="00033564"/>
    <w:rsid w:val="000358C1"/>
    <w:rsid w:val="00042D17"/>
    <w:rsid w:val="000455FA"/>
    <w:rsid w:val="00047B1A"/>
    <w:rsid w:val="000526C3"/>
    <w:rsid w:val="000621FB"/>
    <w:rsid w:val="000625AC"/>
    <w:rsid w:val="000636FE"/>
    <w:rsid w:val="000704FB"/>
    <w:rsid w:val="0007735D"/>
    <w:rsid w:val="00083832"/>
    <w:rsid w:val="000844F2"/>
    <w:rsid w:val="000A11E0"/>
    <w:rsid w:val="000A11ED"/>
    <w:rsid w:val="000A210F"/>
    <w:rsid w:val="000A9DC6"/>
    <w:rsid w:val="000B0B02"/>
    <w:rsid w:val="000B647B"/>
    <w:rsid w:val="000C1FD0"/>
    <w:rsid w:val="000C2E4B"/>
    <w:rsid w:val="000D26B9"/>
    <w:rsid w:val="000D3312"/>
    <w:rsid w:val="000D4086"/>
    <w:rsid w:val="000D544B"/>
    <w:rsid w:val="000D7C64"/>
    <w:rsid w:val="000E18CF"/>
    <w:rsid w:val="000F54D1"/>
    <w:rsid w:val="001000D1"/>
    <w:rsid w:val="00100ACA"/>
    <w:rsid w:val="001024DB"/>
    <w:rsid w:val="00110168"/>
    <w:rsid w:val="0011240F"/>
    <w:rsid w:val="001209DD"/>
    <w:rsid w:val="00120A60"/>
    <w:rsid w:val="00120DA8"/>
    <w:rsid w:val="001227F4"/>
    <w:rsid w:val="00126F95"/>
    <w:rsid w:val="001326A3"/>
    <w:rsid w:val="00133792"/>
    <w:rsid w:val="001344F3"/>
    <w:rsid w:val="00142566"/>
    <w:rsid w:val="001474A7"/>
    <w:rsid w:val="0015039F"/>
    <w:rsid w:val="001704C8"/>
    <w:rsid w:val="00174EC0"/>
    <w:rsid w:val="00181974"/>
    <w:rsid w:val="001864BC"/>
    <w:rsid w:val="001876A5"/>
    <w:rsid w:val="001905E0"/>
    <w:rsid w:val="001932E0"/>
    <w:rsid w:val="00193633"/>
    <w:rsid w:val="001941CE"/>
    <w:rsid w:val="001A4E51"/>
    <w:rsid w:val="001A5CB3"/>
    <w:rsid w:val="001B3F42"/>
    <w:rsid w:val="001B5C53"/>
    <w:rsid w:val="001C02A1"/>
    <w:rsid w:val="001D2D6E"/>
    <w:rsid w:val="001E15E5"/>
    <w:rsid w:val="001E7957"/>
    <w:rsid w:val="001F0D38"/>
    <w:rsid w:val="0020229F"/>
    <w:rsid w:val="00203454"/>
    <w:rsid w:val="002173BB"/>
    <w:rsid w:val="002174F1"/>
    <w:rsid w:val="00222E76"/>
    <w:rsid w:val="00227592"/>
    <w:rsid w:val="00230A2F"/>
    <w:rsid w:val="002324EC"/>
    <w:rsid w:val="00234DEC"/>
    <w:rsid w:val="00246A1E"/>
    <w:rsid w:val="00252B24"/>
    <w:rsid w:val="00253704"/>
    <w:rsid w:val="002575AC"/>
    <w:rsid w:val="00271EBB"/>
    <w:rsid w:val="00274671"/>
    <w:rsid w:val="00274FE7"/>
    <w:rsid w:val="00276891"/>
    <w:rsid w:val="002770C7"/>
    <w:rsid w:val="00282E40"/>
    <w:rsid w:val="00282F91"/>
    <w:rsid w:val="00283D34"/>
    <w:rsid w:val="002862A5"/>
    <w:rsid w:val="00290F3E"/>
    <w:rsid w:val="002974D9"/>
    <w:rsid w:val="002A7D93"/>
    <w:rsid w:val="002B0D8C"/>
    <w:rsid w:val="002C3576"/>
    <w:rsid w:val="002D13D5"/>
    <w:rsid w:val="002D1737"/>
    <w:rsid w:val="002D4687"/>
    <w:rsid w:val="002E56B3"/>
    <w:rsid w:val="002E7567"/>
    <w:rsid w:val="002F01CA"/>
    <w:rsid w:val="002F0A12"/>
    <w:rsid w:val="002F2C5A"/>
    <w:rsid w:val="00300C33"/>
    <w:rsid w:val="00314561"/>
    <w:rsid w:val="003145E1"/>
    <w:rsid w:val="00315F7D"/>
    <w:rsid w:val="0031754E"/>
    <w:rsid w:val="00322447"/>
    <w:rsid w:val="00325B62"/>
    <w:rsid w:val="00331C4E"/>
    <w:rsid w:val="003322D0"/>
    <w:rsid w:val="0033359C"/>
    <w:rsid w:val="00341B50"/>
    <w:rsid w:val="003421BC"/>
    <w:rsid w:val="00343F33"/>
    <w:rsid w:val="00360EC3"/>
    <w:rsid w:val="0036183C"/>
    <w:rsid w:val="00364337"/>
    <w:rsid w:val="00364F33"/>
    <w:rsid w:val="00365C8E"/>
    <w:rsid w:val="00367A1A"/>
    <w:rsid w:val="00373225"/>
    <w:rsid w:val="00374F53"/>
    <w:rsid w:val="00377B0C"/>
    <w:rsid w:val="00385CE2"/>
    <w:rsid w:val="00385E79"/>
    <w:rsid w:val="00386261"/>
    <w:rsid w:val="00397787"/>
    <w:rsid w:val="003A0AB1"/>
    <w:rsid w:val="003A330F"/>
    <w:rsid w:val="003A3C73"/>
    <w:rsid w:val="003A546C"/>
    <w:rsid w:val="003A7612"/>
    <w:rsid w:val="003B30D5"/>
    <w:rsid w:val="003B3BF9"/>
    <w:rsid w:val="003B41D9"/>
    <w:rsid w:val="003B6576"/>
    <w:rsid w:val="003B72E2"/>
    <w:rsid w:val="003C09D6"/>
    <w:rsid w:val="003C1C59"/>
    <w:rsid w:val="003C1C7C"/>
    <w:rsid w:val="003C2523"/>
    <w:rsid w:val="003C2629"/>
    <w:rsid w:val="003D5553"/>
    <w:rsid w:val="003E4455"/>
    <w:rsid w:val="003F14AC"/>
    <w:rsid w:val="003F44C8"/>
    <w:rsid w:val="003F5840"/>
    <w:rsid w:val="004007D5"/>
    <w:rsid w:val="00401726"/>
    <w:rsid w:val="00413260"/>
    <w:rsid w:val="00413F1B"/>
    <w:rsid w:val="00415639"/>
    <w:rsid w:val="00420423"/>
    <w:rsid w:val="00422131"/>
    <w:rsid w:val="00423342"/>
    <w:rsid w:val="00423722"/>
    <w:rsid w:val="00424AA3"/>
    <w:rsid w:val="00424F44"/>
    <w:rsid w:val="00426440"/>
    <w:rsid w:val="004264C2"/>
    <w:rsid w:val="00433DD4"/>
    <w:rsid w:val="0043652D"/>
    <w:rsid w:val="00440E21"/>
    <w:rsid w:val="00441068"/>
    <w:rsid w:val="00443BE8"/>
    <w:rsid w:val="00444497"/>
    <w:rsid w:val="00452351"/>
    <w:rsid w:val="0045373C"/>
    <w:rsid w:val="00454BFE"/>
    <w:rsid w:val="00460EF8"/>
    <w:rsid w:val="0046174B"/>
    <w:rsid w:val="00463BFE"/>
    <w:rsid w:val="00466992"/>
    <w:rsid w:val="004702DD"/>
    <w:rsid w:val="00480DF8"/>
    <w:rsid w:val="004834EF"/>
    <w:rsid w:val="00484212"/>
    <w:rsid w:val="004972BE"/>
    <w:rsid w:val="004A3212"/>
    <w:rsid w:val="004A6A17"/>
    <w:rsid w:val="004A7DED"/>
    <w:rsid w:val="004B5106"/>
    <w:rsid w:val="004C3207"/>
    <w:rsid w:val="004C3AF0"/>
    <w:rsid w:val="004C580D"/>
    <w:rsid w:val="004C5EC1"/>
    <w:rsid w:val="004E3775"/>
    <w:rsid w:val="004E3AFA"/>
    <w:rsid w:val="004E653E"/>
    <w:rsid w:val="004E697A"/>
    <w:rsid w:val="004F1072"/>
    <w:rsid w:val="004F3C66"/>
    <w:rsid w:val="00500AC2"/>
    <w:rsid w:val="00503945"/>
    <w:rsid w:val="00506942"/>
    <w:rsid w:val="005111E8"/>
    <w:rsid w:val="00520F9B"/>
    <w:rsid w:val="00521F71"/>
    <w:rsid w:val="00522B45"/>
    <w:rsid w:val="00522F96"/>
    <w:rsid w:val="005356FD"/>
    <w:rsid w:val="005403DD"/>
    <w:rsid w:val="00544438"/>
    <w:rsid w:val="00546910"/>
    <w:rsid w:val="00557FC5"/>
    <w:rsid w:val="00564014"/>
    <w:rsid w:val="0056422D"/>
    <w:rsid w:val="00564D6E"/>
    <w:rsid w:val="005715ED"/>
    <w:rsid w:val="0057222C"/>
    <w:rsid w:val="0057338B"/>
    <w:rsid w:val="005818C1"/>
    <w:rsid w:val="005906E7"/>
    <w:rsid w:val="005A5135"/>
    <w:rsid w:val="005A5C90"/>
    <w:rsid w:val="005A65B5"/>
    <w:rsid w:val="005B75D6"/>
    <w:rsid w:val="005C7E91"/>
    <w:rsid w:val="005D0F61"/>
    <w:rsid w:val="005D431F"/>
    <w:rsid w:val="005D58CD"/>
    <w:rsid w:val="005D75BA"/>
    <w:rsid w:val="005E0260"/>
    <w:rsid w:val="005E3DD7"/>
    <w:rsid w:val="005E5102"/>
    <w:rsid w:val="005E7684"/>
    <w:rsid w:val="005F0096"/>
    <w:rsid w:val="005F11C7"/>
    <w:rsid w:val="005F2B73"/>
    <w:rsid w:val="005F3C15"/>
    <w:rsid w:val="005F7B6D"/>
    <w:rsid w:val="00604258"/>
    <w:rsid w:val="00607ECB"/>
    <w:rsid w:val="0062229A"/>
    <w:rsid w:val="006300DC"/>
    <w:rsid w:val="00630569"/>
    <w:rsid w:val="006305F4"/>
    <w:rsid w:val="00631280"/>
    <w:rsid w:val="00632C56"/>
    <w:rsid w:val="006351ED"/>
    <w:rsid w:val="006475F9"/>
    <w:rsid w:val="00653332"/>
    <w:rsid w:val="00653DA0"/>
    <w:rsid w:val="00655699"/>
    <w:rsid w:val="00660BBF"/>
    <w:rsid w:val="00661C85"/>
    <w:rsid w:val="0066311C"/>
    <w:rsid w:val="00664918"/>
    <w:rsid w:val="00667AD9"/>
    <w:rsid w:val="00670B4A"/>
    <w:rsid w:val="0067307D"/>
    <w:rsid w:val="00673828"/>
    <w:rsid w:val="00680590"/>
    <w:rsid w:val="00680742"/>
    <w:rsid w:val="00684642"/>
    <w:rsid w:val="00692CA4"/>
    <w:rsid w:val="00696EC3"/>
    <w:rsid w:val="00697E2A"/>
    <w:rsid w:val="006A0A87"/>
    <w:rsid w:val="006A252B"/>
    <w:rsid w:val="006A6685"/>
    <w:rsid w:val="006A6E6F"/>
    <w:rsid w:val="006A7144"/>
    <w:rsid w:val="006B5677"/>
    <w:rsid w:val="006C0A0F"/>
    <w:rsid w:val="006C4CF2"/>
    <w:rsid w:val="006C54A0"/>
    <w:rsid w:val="006D096D"/>
    <w:rsid w:val="006D2F9E"/>
    <w:rsid w:val="006D43DF"/>
    <w:rsid w:val="006E69C6"/>
    <w:rsid w:val="006F0B51"/>
    <w:rsid w:val="006F2F36"/>
    <w:rsid w:val="006F4F4C"/>
    <w:rsid w:val="00701CBD"/>
    <w:rsid w:val="00705896"/>
    <w:rsid w:val="00707C45"/>
    <w:rsid w:val="00710B55"/>
    <w:rsid w:val="0071659C"/>
    <w:rsid w:val="00720363"/>
    <w:rsid w:val="0072214A"/>
    <w:rsid w:val="0072288C"/>
    <w:rsid w:val="0073122B"/>
    <w:rsid w:val="00745F03"/>
    <w:rsid w:val="007554BF"/>
    <w:rsid w:val="00757E77"/>
    <w:rsid w:val="007616EE"/>
    <w:rsid w:val="00762975"/>
    <w:rsid w:val="0077348F"/>
    <w:rsid w:val="0077701A"/>
    <w:rsid w:val="0078537C"/>
    <w:rsid w:val="00786EB2"/>
    <w:rsid w:val="007931FA"/>
    <w:rsid w:val="0079499A"/>
    <w:rsid w:val="007953FA"/>
    <w:rsid w:val="00795ED5"/>
    <w:rsid w:val="007A1B76"/>
    <w:rsid w:val="007A3734"/>
    <w:rsid w:val="007A4AD5"/>
    <w:rsid w:val="007A6A1B"/>
    <w:rsid w:val="007A6F21"/>
    <w:rsid w:val="007B4FBA"/>
    <w:rsid w:val="007B5D72"/>
    <w:rsid w:val="007C07AE"/>
    <w:rsid w:val="007C3C3A"/>
    <w:rsid w:val="007C562C"/>
    <w:rsid w:val="007D329E"/>
    <w:rsid w:val="007D4268"/>
    <w:rsid w:val="007E189E"/>
    <w:rsid w:val="007E35C0"/>
    <w:rsid w:val="007E49CC"/>
    <w:rsid w:val="007E53D0"/>
    <w:rsid w:val="007F7F09"/>
    <w:rsid w:val="00800736"/>
    <w:rsid w:val="00801CAE"/>
    <w:rsid w:val="00804A8D"/>
    <w:rsid w:val="0081021F"/>
    <w:rsid w:val="00821295"/>
    <w:rsid w:val="008311E3"/>
    <w:rsid w:val="0083292B"/>
    <w:rsid w:val="00837C5A"/>
    <w:rsid w:val="00841F0D"/>
    <w:rsid w:val="00844E2B"/>
    <w:rsid w:val="00853CCC"/>
    <w:rsid w:val="00874605"/>
    <w:rsid w:val="00877A3D"/>
    <w:rsid w:val="00887B75"/>
    <w:rsid w:val="00894649"/>
    <w:rsid w:val="00894736"/>
    <w:rsid w:val="00896151"/>
    <w:rsid w:val="008A1B3A"/>
    <w:rsid w:val="008A3B79"/>
    <w:rsid w:val="008A7C13"/>
    <w:rsid w:val="008B4935"/>
    <w:rsid w:val="008B4D59"/>
    <w:rsid w:val="008B4EE5"/>
    <w:rsid w:val="008D0697"/>
    <w:rsid w:val="008D3C36"/>
    <w:rsid w:val="008D5F38"/>
    <w:rsid w:val="008D6FBA"/>
    <w:rsid w:val="008E025B"/>
    <w:rsid w:val="008E1C99"/>
    <w:rsid w:val="008E262D"/>
    <w:rsid w:val="008F0E7B"/>
    <w:rsid w:val="008F234E"/>
    <w:rsid w:val="008F644B"/>
    <w:rsid w:val="00904D42"/>
    <w:rsid w:val="00906D5B"/>
    <w:rsid w:val="00907430"/>
    <w:rsid w:val="00910B89"/>
    <w:rsid w:val="009124C6"/>
    <w:rsid w:val="00913929"/>
    <w:rsid w:val="009170F5"/>
    <w:rsid w:val="00943CA0"/>
    <w:rsid w:val="009477B3"/>
    <w:rsid w:val="009507E7"/>
    <w:rsid w:val="00970986"/>
    <w:rsid w:val="009729BD"/>
    <w:rsid w:val="00975C3E"/>
    <w:rsid w:val="00977445"/>
    <w:rsid w:val="00986DBE"/>
    <w:rsid w:val="0099343D"/>
    <w:rsid w:val="00996527"/>
    <w:rsid w:val="009A7CFA"/>
    <w:rsid w:val="009B02E7"/>
    <w:rsid w:val="009B2F4E"/>
    <w:rsid w:val="009B3A58"/>
    <w:rsid w:val="009B5742"/>
    <w:rsid w:val="009B7735"/>
    <w:rsid w:val="009B7BC3"/>
    <w:rsid w:val="009E5E64"/>
    <w:rsid w:val="009E630E"/>
    <w:rsid w:val="00A155F6"/>
    <w:rsid w:val="00A160A2"/>
    <w:rsid w:val="00A2375A"/>
    <w:rsid w:val="00A274B2"/>
    <w:rsid w:val="00A3059B"/>
    <w:rsid w:val="00A32CCD"/>
    <w:rsid w:val="00A36F71"/>
    <w:rsid w:val="00A3777C"/>
    <w:rsid w:val="00A50FD3"/>
    <w:rsid w:val="00A53246"/>
    <w:rsid w:val="00A53B30"/>
    <w:rsid w:val="00A5577F"/>
    <w:rsid w:val="00A564CC"/>
    <w:rsid w:val="00A565A1"/>
    <w:rsid w:val="00A60F2B"/>
    <w:rsid w:val="00A61405"/>
    <w:rsid w:val="00A626F1"/>
    <w:rsid w:val="00A62C93"/>
    <w:rsid w:val="00A63E35"/>
    <w:rsid w:val="00A67328"/>
    <w:rsid w:val="00A70EFE"/>
    <w:rsid w:val="00A74B92"/>
    <w:rsid w:val="00A75E25"/>
    <w:rsid w:val="00A822AF"/>
    <w:rsid w:val="00A83ED4"/>
    <w:rsid w:val="00A90D83"/>
    <w:rsid w:val="00A91A4E"/>
    <w:rsid w:val="00A97A49"/>
    <w:rsid w:val="00AA0923"/>
    <w:rsid w:val="00AA11E9"/>
    <w:rsid w:val="00AA4371"/>
    <w:rsid w:val="00AB1467"/>
    <w:rsid w:val="00AB175B"/>
    <w:rsid w:val="00AB3000"/>
    <w:rsid w:val="00AB3949"/>
    <w:rsid w:val="00AB4047"/>
    <w:rsid w:val="00AB65F9"/>
    <w:rsid w:val="00AB6B97"/>
    <w:rsid w:val="00AB754C"/>
    <w:rsid w:val="00AC1C0E"/>
    <w:rsid w:val="00AC6B05"/>
    <w:rsid w:val="00AD0FE7"/>
    <w:rsid w:val="00AE45AF"/>
    <w:rsid w:val="00AE7AAE"/>
    <w:rsid w:val="00AF1E6E"/>
    <w:rsid w:val="00AF5AB7"/>
    <w:rsid w:val="00AF5D8E"/>
    <w:rsid w:val="00AF7A03"/>
    <w:rsid w:val="00B07DFF"/>
    <w:rsid w:val="00B12F59"/>
    <w:rsid w:val="00B219B9"/>
    <w:rsid w:val="00B21F64"/>
    <w:rsid w:val="00B25079"/>
    <w:rsid w:val="00B251EB"/>
    <w:rsid w:val="00B3198F"/>
    <w:rsid w:val="00B37C4F"/>
    <w:rsid w:val="00B410FA"/>
    <w:rsid w:val="00B412F2"/>
    <w:rsid w:val="00B43415"/>
    <w:rsid w:val="00B476DD"/>
    <w:rsid w:val="00B504D0"/>
    <w:rsid w:val="00B51816"/>
    <w:rsid w:val="00B52022"/>
    <w:rsid w:val="00B679C1"/>
    <w:rsid w:val="00B705D7"/>
    <w:rsid w:val="00B70EF5"/>
    <w:rsid w:val="00B728D8"/>
    <w:rsid w:val="00B81A6E"/>
    <w:rsid w:val="00B82968"/>
    <w:rsid w:val="00B84B3E"/>
    <w:rsid w:val="00B8505E"/>
    <w:rsid w:val="00B9171F"/>
    <w:rsid w:val="00B958FA"/>
    <w:rsid w:val="00BA1E0B"/>
    <w:rsid w:val="00BA36C9"/>
    <w:rsid w:val="00BB0E8F"/>
    <w:rsid w:val="00BB0FC0"/>
    <w:rsid w:val="00BB4AA5"/>
    <w:rsid w:val="00BB7911"/>
    <w:rsid w:val="00BB7A57"/>
    <w:rsid w:val="00BC54BF"/>
    <w:rsid w:val="00BC63C1"/>
    <w:rsid w:val="00BC78D3"/>
    <w:rsid w:val="00BD41FD"/>
    <w:rsid w:val="00BD6748"/>
    <w:rsid w:val="00BE0866"/>
    <w:rsid w:val="00BE3579"/>
    <w:rsid w:val="00BE6171"/>
    <w:rsid w:val="00BF5ECD"/>
    <w:rsid w:val="00C06753"/>
    <w:rsid w:val="00C12A3A"/>
    <w:rsid w:val="00C14628"/>
    <w:rsid w:val="00C14AB2"/>
    <w:rsid w:val="00C40133"/>
    <w:rsid w:val="00C44F94"/>
    <w:rsid w:val="00C52AB4"/>
    <w:rsid w:val="00C556FD"/>
    <w:rsid w:val="00C55B03"/>
    <w:rsid w:val="00C57C45"/>
    <w:rsid w:val="00C6512A"/>
    <w:rsid w:val="00C66451"/>
    <w:rsid w:val="00C77A61"/>
    <w:rsid w:val="00C77ADC"/>
    <w:rsid w:val="00C86002"/>
    <w:rsid w:val="00C91A25"/>
    <w:rsid w:val="00C94675"/>
    <w:rsid w:val="00C95B41"/>
    <w:rsid w:val="00C96207"/>
    <w:rsid w:val="00CA1409"/>
    <w:rsid w:val="00CA738A"/>
    <w:rsid w:val="00CB5282"/>
    <w:rsid w:val="00CC1CAF"/>
    <w:rsid w:val="00CC59CC"/>
    <w:rsid w:val="00CC7FDB"/>
    <w:rsid w:val="00CD4C3B"/>
    <w:rsid w:val="00CD7F6A"/>
    <w:rsid w:val="00CE05C5"/>
    <w:rsid w:val="00CE2461"/>
    <w:rsid w:val="00CF2ADD"/>
    <w:rsid w:val="00CF44E4"/>
    <w:rsid w:val="00D03C8E"/>
    <w:rsid w:val="00D06219"/>
    <w:rsid w:val="00D06C5A"/>
    <w:rsid w:val="00D076A9"/>
    <w:rsid w:val="00D119B3"/>
    <w:rsid w:val="00D13EBD"/>
    <w:rsid w:val="00D20159"/>
    <w:rsid w:val="00D221A9"/>
    <w:rsid w:val="00D26881"/>
    <w:rsid w:val="00D27B64"/>
    <w:rsid w:val="00D31362"/>
    <w:rsid w:val="00D32B6D"/>
    <w:rsid w:val="00D33828"/>
    <w:rsid w:val="00D33DA0"/>
    <w:rsid w:val="00D348C8"/>
    <w:rsid w:val="00D35C9C"/>
    <w:rsid w:val="00D41448"/>
    <w:rsid w:val="00D50429"/>
    <w:rsid w:val="00D5705F"/>
    <w:rsid w:val="00D57CF7"/>
    <w:rsid w:val="00D65749"/>
    <w:rsid w:val="00D72C0A"/>
    <w:rsid w:val="00D7723B"/>
    <w:rsid w:val="00D878D6"/>
    <w:rsid w:val="00D97D41"/>
    <w:rsid w:val="00DA3EAE"/>
    <w:rsid w:val="00DC5A1A"/>
    <w:rsid w:val="00DE7D01"/>
    <w:rsid w:val="00DF0C04"/>
    <w:rsid w:val="00DF42A1"/>
    <w:rsid w:val="00DF48A5"/>
    <w:rsid w:val="00DF6EC7"/>
    <w:rsid w:val="00E01FBB"/>
    <w:rsid w:val="00E12026"/>
    <w:rsid w:val="00E1564F"/>
    <w:rsid w:val="00E215BD"/>
    <w:rsid w:val="00E2350D"/>
    <w:rsid w:val="00E24DF5"/>
    <w:rsid w:val="00E26705"/>
    <w:rsid w:val="00E278E2"/>
    <w:rsid w:val="00E311CB"/>
    <w:rsid w:val="00E32569"/>
    <w:rsid w:val="00E33A19"/>
    <w:rsid w:val="00E35D71"/>
    <w:rsid w:val="00E37134"/>
    <w:rsid w:val="00E41159"/>
    <w:rsid w:val="00E60B71"/>
    <w:rsid w:val="00E66AAB"/>
    <w:rsid w:val="00E71AF5"/>
    <w:rsid w:val="00E722DE"/>
    <w:rsid w:val="00E74DB7"/>
    <w:rsid w:val="00E775FB"/>
    <w:rsid w:val="00E77617"/>
    <w:rsid w:val="00E77F7B"/>
    <w:rsid w:val="00E818E4"/>
    <w:rsid w:val="00E830AB"/>
    <w:rsid w:val="00E935F3"/>
    <w:rsid w:val="00E94CFF"/>
    <w:rsid w:val="00EA40C9"/>
    <w:rsid w:val="00EB233B"/>
    <w:rsid w:val="00EB2492"/>
    <w:rsid w:val="00EB544A"/>
    <w:rsid w:val="00EC3283"/>
    <w:rsid w:val="00ED200B"/>
    <w:rsid w:val="00ED6A37"/>
    <w:rsid w:val="00EE3978"/>
    <w:rsid w:val="00EE7BD0"/>
    <w:rsid w:val="00EF418C"/>
    <w:rsid w:val="00EF51E4"/>
    <w:rsid w:val="00EF6B54"/>
    <w:rsid w:val="00EF7405"/>
    <w:rsid w:val="00F02622"/>
    <w:rsid w:val="00F053BC"/>
    <w:rsid w:val="00F06DFE"/>
    <w:rsid w:val="00F222A1"/>
    <w:rsid w:val="00F233F0"/>
    <w:rsid w:val="00F23950"/>
    <w:rsid w:val="00F260F6"/>
    <w:rsid w:val="00F32C5F"/>
    <w:rsid w:val="00F41AA1"/>
    <w:rsid w:val="00F42477"/>
    <w:rsid w:val="00F436F9"/>
    <w:rsid w:val="00F44BB3"/>
    <w:rsid w:val="00F527DB"/>
    <w:rsid w:val="00F528A4"/>
    <w:rsid w:val="00F57BC5"/>
    <w:rsid w:val="00F65022"/>
    <w:rsid w:val="00F67B96"/>
    <w:rsid w:val="00F7160B"/>
    <w:rsid w:val="00F7361D"/>
    <w:rsid w:val="00F77595"/>
    <w:rsid w:val="00F83948"/>
    <w:rsid w:val="00F91840"/>
    <w:rsid w:val="00F938E9"/>
    <w:rsid w:val="00FA37C2"/>
    <w:rsid w:val="00FA48D2"/>
    <w:rsid w:val="00FB3082"/>
    <w:rsid w:val="00FB4C22"/>
    <w:rsid w:val="00FB799D"/>
    <w:rsid w:val="00FC08B4"/>
    <w:rsid w:val="00FC10D0"/>
    <w:rsid w:val="00FC2068"/>
    <w:rsid w:val="00FD216E"/>
    <w:rsid w:val="00FD5040"/>
    <w:rsid w:val="00FE2FF2"/>
    <w:rsid w:val="00FE50D8"/>
    <w:rsid w:val="00FE61FA"/>
    <w:rsid w:val="00FE759F"/>
    <w:rsid w:val="00FF51E9"/>
    <w:rsid w:val="00FF7D43"/>
    <w:rsid w:val="02B0DFBF"/>
    <w:rsid w:val="0531F1AC"/>
    <w:rsid w:val="0673FF32"/>
    <w:rsid w:val="2137601B"/>
    <w:rsid w:val="22373FDC"/>
    <w:rsid w:val="317F4049"/>
    <w:rsid w:val="3E31E329"/>
    <w:rsid w:val="3E8430F1"/>
    <w:rsid w:val="436B8E5F"/>
    <w:rsid w:val="43843AEF"/>
    <w:rsid w:val="46D8192E"/>
    <w:rsid w:val="4C0AF762"/>
    <w:rsid w:val="57FF3EB3"/>
    <w:rsid w:val="5C09D6D0"/>
    <w:rsid w:val="759DFAC4"/>
    <w:rsid w:val="7BE4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5646"/>
  <w15:chartTrackingRefBased/>
  <w15:docId w15:val="{208C9D7A-5306-4531-B1A0-371E720A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41F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BD41FD"/>
    <w:pPr>
      <w:ind w:left="120"/>
      <w:outlineLvl w:val="0"/>
    </w:pPr>
    <w:rPr>
      <w:b/>
      <w:bCs/>
      <w:sz w:val="24"/>
      <w:szCs w:val="24"/>
      <w:u w:val="single" w:color="000000"/>
    </w:rPr>
  </w:style>
  <w:style w:type="paragraph" w:styleId="Heading2">
    <w:name w:val="heading 2"/>
    <w:basedOn w:val="Normal"/>
    <w:link w:val="Heading2Char"/>
    <w:uiPriority w:val="1"/>
    <w:qFormat/>
    <w:rsid w:val="00BD41FD"/>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41FD"/>
    <w:rPr>
      <w:rFonts w:ascii="Arial" w:eastAsia="Arial" w:hAnsi="Arial" w:cs="Arial"/>
      <w:b/>
      <w:bCs/>
      <w:sz w:val="24"/>
      <w:szCs w:val="24"/>
      <w:u w:val="single" w:color="000000"/>
    </w:rPr>
  </w:style>
  <w:style w:type="character" w:customStyle="1" w:styleId="Heading2Char">
    <w:name w:val="Heading 2 Char"/>
    <w:basedOn w:val="DefaultParagraphFont"/>
    <w:link w:val="Heading2"/>
    <w:uiPriority w:val="1"/>
    <w:rsid w:val="00BD41FD"/>
    <w:rPr>
      <w:rFonts w:ascii="Arial" w:eastAsia="Arial" w:hAnsi="Arial" w:cs="Arial"/>
      <w:b/>
      <w:bCs/>
      <w:sz w:val="20"/>
      <w:szCs w:val="20"/>
    </w:rPr>
  </w:style>
  <w:style w:type="paragraph" w:styleId="BodyText">
    <w:name w:val="Body Text"/>
    <w:basedOn w:val="Normal"/>
    <w:link w:val="BodyTextChar"/>
    <w:uiPriority w:val="1"/>
    <w:qFormat/>
    <w:rsid w:val="00BD41FD"/>
    <w:rPr>
      <w:sz w:val="20"/>
      <w:szCs w:val="20"/>
    </w:rPr>
  </w:style>
  <w:style w:type="character" w:customStyle="1" w:styleId="BodyTextChar">
    <w:name w:val="Body Text Char"/>
    <w:basedOn w:val="DefaultParagraphFont"/>
    <w:link w:val="BodyText"/>
    <w:uiPriority w:val="1"/>
    <w:rsid w:val="00BD41FD"/>
    <w:rPr>
      <w:rFonts w:ascii="Arial" w:eastAsia="Arial" w:hAnsi="Arial" w:cs="Arial"/>
      <w:sz w:val="20"/>
      <w:szCs w:val="20"/>
    </w:rPr>
  </w:style>
  <w:style w:type="paragraph" w:styleId="ListParagraph">
    <w:name w:val="List Paragraph"/>
    <w:basedOn w:val="Normal"/>
    <w:uiPriority w:val="1"/>
    <w:qFormat/>
    <w:rsid w:val="00BD41FD"/>
    <w:pPr>
      <w:spacing w:before="39"/>
      <w:ind w:left="840" w:hanging="360"/>
    </w:pPr>
  </w:style>
  <w:style w:type="paragraph" w:customStyle="1" w:styleId="TableParagraph">
    <w:name w:val="Table Paragraph"/>
    <w:basedOn w:val="Normal"/>
    <w:uiPriority w:val="1"/>
    <w:qFormat/>
    <w:rsid w:val="00BD41FD"/>
    <w:pPr>
      <w:spacing w:before="38"/>
      <w:ind w:left="103"/>
    </w:pPr>
  </w:style>
  <w:style w:type="paragraph" w:styleId="BalloonText">
    <w:name w:val="Balloon Text"/>
    <w:basedOn w:val="Normal"/>
    <w:link w:val="BalloonTextChar"/>
    <w:uiPriority w:val="99"/>
    <w:semiHidden/>
    <w:unhideWhenUsed/>
    <w:rsid w:val="00BD41FD"/>
    <w:rPr>
      <w:rFonts w:ascii="Tahoma" w:hAnsi="Tahoma" w:cs="Tahoma"/>
      <w:sz w:val="16"/>
      <w:szCs w:val="16"/>
    </w:rPr>
  </w:style>
  <w:style w:type="character" w:customStyle="1" w:styleId="BalloonTextChar">
    <w:name w:val="Balloon Text Char"/>
    <w:basedOn w:val="DefaultParagraphFont"/>
    <w:link w:val="BalloonText"/>
    <w:uiPriority w:val="99"/>
    <w:semiHidden/>
    <w:rsid w:val="00BD41FD"/>
    <w:rPr>
      <w:rFonts w:ascii="Tahoma" w:eastAsia="Arial" w:hAnsi="Tahoma" w:cs="Tahoma"/>
      <w:sz w:val="16"/>
      <w:szCs w:val="16"/>
    </w:rPr>
  </w:style>
  <w:style w:type="character" w:styleId="CommentReference">
    <w:name w:val="annotation reference"/>
    <w:basedOn w:val="DefaultParagraphFont"/>
    <w:uiPriority w:val="99"/>
    <w:semiHidden/>
    <w:unhideWhenUsed/>
    <w:rsid w:val="00BD41FD"/>
    <w:rPr>
      <w:sz w:val="16"/>
      <w:szCs w:val="16"/>
    </w:rPr>
  </w:style>
  <w:style w:type="paragraph" w:styleId="CommentText">
    <w:name w:val="annotation text"/>
    <w:basedOn w:val="Normal"/>
    <w:link w:val="CommentTextChar"/>
    <w:uiPriority w:val="99"/>
    <w:unhideWhenUsed/>
    <w:rsid w:val="00BD41FD"/>
    <w:rPr>
      <w:sz w:val="20"/>
      <w:szCs w:val="20"/>
    </w:rPr>
  </w:style>
  <w:style w:type="character" w:customStyle="1" w:styleId="CommentTextChar">
    <w:name w:val="Comment Text Char"/>
    <w:basedOn w:val="DefaultParagraphFont"/>
    <w:link w:val="CommentText"/>
    <w:uiPriority w:val="99"/>
    <w:rsid w:val="00BD41F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D41FD"/>
    <w:rPr>
      <w:b/>
      <w:bCs/>
    </w:rPr>
  </w:style>
  <w:style w:type="character" w:customStyle="1" w:styleId="CommentSubjectChar">
    <w:name w:val="Comment Subject Char"/>
    <w:basedOn w:val="CommentTextChar"/>
    <w:link w:val="CommentSubject"/>
    <w:uiPriority w:val="99"/>
    <w:semiHidden/>
    <w:rsid w:val="00BD41FD"/>
    <w:rPr>
      <w:rFonts w:ascii="Arial" w:eastAsia="Arial" w:hAnsi="Arial" w:cs="Arial"/>
      <w:b/>
      <w:bCs/>
      <w:sz w:val="20"/>
      <w:szCs w:val="20"/>
    </w:rPr>
  </w:style>
  <w:style w:type="paragraph" w:styleId="Header">
    <w:name w:val="header"/>
    <w:basedOn w:val="Normal"/>
    <w:link w:val="HeaderChar"/>
    <w:uiPriority w:val="99"/>
    <w:unhideWhenUsed/>
    <w:rsid w:val="00BD41FD"/>
    <w:pPr>
      <w:tabs>
        <w:tab w:val="center" w:pos="4680"/>
        <w:tab w:val="right" w:pos="9360"/>
      </w:tabs>
    </w:pPr>
  </w:style>
  <w:style w:type="character" w:customStyle="1" w:styleId="HeaderChar">
    <w:name w:val="Header Char"/>
    <w:basedOn w:val="DefaultParagraphFont"/>
    <w:link w:val="Header"/>
    <w:uiPriority w:val="99"/>
    <w:rsid w:val="00BD41FD"/>
    <w:rPr>
      <w:rFonts w:ascii="Arial" w:eastAsia="Arial" w:hAnsi="Arial" w:cs="Arial"/>
    </w:rPr>
  </w:style>
  <w:style w:type="paragraph" w:styleId="Footer">
    <w:name w:val="footer"/>
    <w:basedOn w:val="Normal"/>
    <w:link w:val="FooterChar"/>
    <w:uiPriority w:val="99"/>
    <w:unhideWhenUsed/>
    <w:rsid w:val="00BD41FD"/>
    <w:pPr>
      <w:tabs>
        <w:tab w:val="center" w:pos="4680"/>
        <w:tab w:val="right" w:pos="9360"/>
      </w:tabs>
    </w:pPr>
  </w:style>
  <w:style w:type="character" w:customStyle="1" w:styleId="FooterChar">
    <w:name w:val="Footer Char"/>
    <w:basedOn w:val="DefaultParagraphFont"/>
    <w:link w:val="Footer"/>
    <w:uiPriority w:val="99"/>
    <w:rsid w:val="00BD41FD"/>
    <w:rPr>
      <w:rFonts w:ascii="Arial" w:eastAsia="Arial" w:hAnsi="Arial" w:cs="Arial"/>
    </w:rPr>
  </w:style>
  <w:style w:type="table" w:styleId="TableGrid">
    <w:name w:val="Table Grid"/>
    <w:basedOn w:val="TableNormal"/>
    <w:uiPriority w:val="59"/>
    <w:rsid w:val="00BD41F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FD"/>
    <w:rPr>
      <w:color w:val="0563C1" w:themeColor="hyperlink"/>
      <w:u w:val="single"/>
    </w:rPr>
  </w:style>
  <w:style w:type="paragraph" w:customStyle="1" w:styleId="default">
    <w:name w:val="default"/>
    <w:basedOn w:val="Normal"/>
    <w:rsid w:val="00BD41FD"/>
    <w:pPr>
      <w:widowControl/>
    </w:pPr>
    <w:rPr>
      <w:rFonts w:eastAsiaTheme="minorHAnsi"/>
      <w:color w:val="000000"/>
      <w:sz w:val="24"/>
      <w:szCs w:val="24"/>
    </w:rPr>
  </w:style>
  <w:style w:type="character" w:styleId="FollowedHyperlink">
    <w:name w:val="FollowedHyperlink"/>
    <w:basedOn w:val="DefaultParagraphFont"/>
    <w:uiPriority w:val="99"/>
    <w:semiHidden/>
    <w:unhideWhenUsed/>
    <w:rsid w:val="00BD41FD"/>
    <w:rPr>
      <w:color w:val="954F72" w:themeColor="followedHyperlink"/>
      <w:u w:val="single"/>
    </w:rPr>
  </w:style>
  <w:style w:type="paragraph" w:customStyle="1" w:styleId="Default0">
    <w:name w:val="Default"/>
    <w:rsid w:val="00BD41FD"/>
    <w:pPr>
      <w:autoSpaceDE w:val="0"/>
      <w:autoSpaceDN w:val="0"/>
      <w:adjustRightInd w:val="0"/>
      <w:spacing w:after="0" w:line="240" w:lineRule="auto"/>
    </w:pPr>
    <w:rPr>
      <w:rFonts w:ascii="Archer Book" w:hAnsi="Archer Book" w:cs="Archer Book"/>
      <w:color w:val="000000"/>
      <w:sz w:val="24"/>
      <w:szCs w:val="24"/>
    </w:rPr>
  </w:style>
  <w:style w:type="paragraph" w:styleId="FootnoteText">
    <w:name w:val="footnote text"/>
    <w:basedOn w:val="Normal"/>
    <w:link w:val="FootnoteTextChar"/>
    <w:uiPriority w:val="99"/>
    <w:semiHidden/>
    <w:unhideWhenUsed/>
    <w:rsid w:val="00BD41FD"/>
    <w:rPr>
      <w:sz w:val="20"/>
      <w:szCs w:val="20"/>
    </w:rPr>
  </w:style>
  <w:style w:type="character" w:customStyle="1" w:styleId="FootnoteTextChar">
    <w:name w:val="Footnote Text Char"/>
    <w:basedOn w:val="DefaultParagraphFont"/>
    <w:link w:val="FootnoteText"/>
    <w:uiPriority w:val="99"/>
    <w:semiHidden/>
    <w:rsid w:val="00BD41FD"/>
    <w:rPr>
      <w:rFonts w:ascii="Arial" w:eastAsia="Arial" w:hAnsi="Arial" w:cs="Arial"/>
      <w:sz w:val="20"/>
      <w:szCs w:val="20"/>
    </w:rPr>
  </w:style>
  <w:style w:type="character" w:styleId="FootnoteReference">
    <w:name w:val="footnote reference"/>
    <w:basedOn w:val="DefaultParagraphFont"/>
    <w:uiPriority w:val="99"/>
    <w:semiHidden/>
    <w:unhideWhenUsed/>
    <w:rsid w:val="00BD41FD"/>
    <w:rPr>
      <w:vertAlign w:val="superscript"/>
    </w:rPr>
  </w:style>
  <w:style w:type="paragraph" w:customStyle="1" w:styleId="articlep">
    <w:name w:val="article__p"/>
    <w:basedOn w:val="Normal"/>
    <w:rsid w:val="00BD41F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D41FD"/>
    <w:rPr>
      <w:b/>
      <w:bCs/>
    </w:rPr>
  </w:style>
  <w:style w:type="paragraph" w:customStyle="1" w:styleId="pt-policytext-000006">
    <w:name w:val="pt-policytext-000006"/>
    <w:basedOn w:val="Normal"/>
    <w:rsid w:val="00BD41F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t-defaultparagraphfont-000007">
    <w:name w:val="pt-defaultparagraphfont-000007"/>
    <w:basedOn w:val="DefaultParagraphFont"/>
    <w:rsid w:val="00BD41FD"/>
  </w:style>
  <w:style w:type="paragraph" w:styleId="TOCHeading">
    <w:name w:val="TOC Heading"/>
    <w:basedOn w:val="Heading1"/>
    <w:next w:val="Normal"/>
    <w:uiPriority w:val="39"/>
    <w:unhideWhenUsed/>
    <w:qFormat/>
    <w:rsid w:val="00BD41F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rsid w:val="00BD41FD"/>
    <w:pPr>
      <w:spacing w:after="100"/>
    </w:pPr>
  </w:style>
  <w:style w:type="paragraph" w:styleId="TOC2">
    <w:name w:val="toc 2"/>
    <w:basedOn w:val="Normal"/>
    <w:next w:val="Normal"/>
    <w:autoRedefine/>
    <w:uiPriority w:val="39"/>
    <w:unhideWhenUsed/>
    <w:rsid w:val="00BD41F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1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DC4F0D415BD479F42E5536D8EFB21" ma:contentTypeVersion="13" ma:contentTypeDescription="Create a new document." ma:contentTypeScope="" ma:versionID="9e602c9b8fb6de8644996979c43fcda9">
  <xsd:schema xmlns:xsd="http://www.w3.org/2001/XMLSchema" xmlns:xs="http://www.w3.org/2001/XMLSchema" xmlns:p="http://schemas.microsoft.com/office/2006/metadata/properties" xmlns:ns1="http://schemas.microsoft.com/sharepoint/v3" xmlns:ns2="cac91670-9511-487a-b778-b65321331360" xmlns:ns3="a82792c3-5b92-44bf-b6ac-8bed36c1094e" targetNamespace="http://schemas.microsoft.com/office/2006/metadata/properties" ma:root="true" ma:fieldsID="ee744ed35a93bfee0728f9c4815fac5d" ns1:_="" ns2:_="" ns3:_="">
    <xsd:import namespace="http://schemas.microsoft.com/sharepoint/v3"/>
    <xsd:import namespace="cac91670-9511-487a-b778-b65321331360"/>
    <xsd:import namespace="a82792c3-5b92-44bf-b6ac-8bed36c1094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91670-9511-487a-b778-b653213313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792c3-5b92-44bf-b6ac-8bed36c1094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A8B86-4295-4CF3-8FA5-DE6129EC7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c91670-9511-487a-b778-b65321331360"/>
    <ds:schemaRef ds:uri="a82792c3-5b92-44bf-b6ac-8bed36c10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45F5B-FC6C-4E18-9181-95D02911E0E0}">
  <ds:schemaRefs>
    <ds:schemaRef ds:uri="http://schemas.openxmlformats.org/officeDocument/2006/bibliography"/>
  </ds:schemaRefs>
</ds:datastoreItem>
</file>

<file path=customXml/itemProps3.xml><?xml version="1.0" encoding="utf-8"?>
<ds:datastoreItem xmlns:ds="http://schemas.openxmlformats.org/officeDocument/2006/customXml" ds:itemID="{BBCD0327-347C-4265-B995-C17119ADE93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3BEC45A-103B-46A0-B766-D3F75E33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16</Pages>
  <Words>8268</Words>
  <Characters>47128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Krcma</dc:creator>
  <cp:keywords/>
  <dc:description/>
  <cp:lastModifiedBy>Gary Schwartz</cp:lastModifiedBy>
  <cp:revision>6</cp:revision>
  <dcterms:created xsi:type="dcterms:W3CDTF">2023-02-23T14:03:00Z</dcterms:created>
  <dcterms:modified xsi:type="dcterms:W3CDTF">2023-02-23T14:23:00Z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0x0101009CCDC4F0D415BD479F42E5536D8EFB21</vt:lpwstr>
  </property>
</Properties>
</file>